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EB" w:rsidRPr="00B67FEC" w:rsidRDefault="00F931EB" w:rsidP="0049154B">
      <w:pPr>
        <w:rPr>
          <w:rFonts w:cs="Calibri"/>
          <w:sz w:val="44"/>
          <w:szCs w:val="44"/>
        </w:rPr>
      </w:pPr>
    </w:p>
    <w:p w:rsidR="00F931EB" w:rsidRPr="00B67FEC" w:rsidRDefault="00F931EB" w:rsidP="0049154B">
      <w:pPr>
        <w:rPr>
          <w:rFonts w:cs="Calibri"/>
          <w:sz w:val="44"/>
          <w:szCs w:val="44"/>
        </w:rPr>
      </w:pPr>
    </w:p>
    <w:p w:rsidR="00F931EB" w:rsidRPr="00B67FEC" w:rsidRDefault="00F931EB" w:rsidP="0049154B">
      <w:pPr>
        <w:rPr>
          <w:rFonts w:cs="Calibri"/>
          <w:sz w:val="44"/>
          <w:szCs w:val="44"/>
        </w:rPr>
      </w:pPr>
    </w:p>
    <w:p w:rsidR="008F710D" w:rsidRPr="00B67FEC" w:rsidRDefault="008F710D" w:rsidP="00DD3386">
      <w:pPr>
        <w:jc w:val="center"/>
        <w:rPr>
          <w:rFonts w:cs="Calibri"/>
          <w:sz w:val="44"/>
          <w:szCs w:val="44"/>
        </w:rPr>
      </w:pPr>
      <w:r w:rsidRPr="00B67FEC">
        <w:rPr>
          <w:rFonts w:cs="Calibri"/>
          <w:sz w:val="44"/>
          <w:szCs w:val="44"/>
        </w:rPr>
        <w:t>MOG 231</w:t>
      </w:r>
    </w:p>
    <w:p w:rsidR="008F710D" w:rsidRPr="00B67FEC" w:rsidRDefault="008F710D" w:rsidP="00DD3386">
      <w:pPr>
        <w:jc w:val="center"/>
        <w:rPr>
          <w:rFonts w:cs="Calibri"/>
          <w:sz w:val="44"/>
          <w:szCs w:val="44"/>
        </w:rPr>
      </w:pPr>
    </w:p>
    <w:p w:rsidR="00095BC1" w:rsidRPr="00B67FEC" w:rsidRDefault="008F710D" w:rsidP="00DD3386">
      <w:pPr>
        <w:jc w:val="center"/>
        <w:rPr>
          <w:rFonts w:cs="Calibri"/>
          <w:sz w:val="44"/>
          <w:szCs w:val="44"/>
        </w:rPr>
      </w:pPr>
      <w:r w:rsidRPr="008F710D">
        <w:rPr>
          <w:rFonts w:cs="Calibri"/>
          <w:sz w:val="44"/>
          <w:szCs w:val="40"/>
        </w:rPr>
        <w:t xml:space="preserve">ALLEGATO </w:t>
      </w:r>
      <w:r w:rsidR="00767BB8" w:rsidRPr="00B67FEC">
        <w:rPr>
          <w:rFonts w:cs="Calibri"/>
          <w:sz w:val="44"/>
          <w:szCs w:val="44"/>
        </w:rPr>
        <w:t>PIANO</w:t>
      </w:r>
      <w:r w:rsidR="00095BC1" w:rsidRPr="00B67FEC">
        <w:rPr>
          <w:rFonts w:cs="Calibri"/>
          <w:sz w:val="44"/>
          <w:szCs w:val="44"/>
        </w:rPr>
        <w:t xml:space="preserve"> </w:t>
      </w:r>
      <w:r w:rsidR="00D27633" w:rsidRPr="00B67FEC">
        <w:rPr>
          <w:rFonts w:cs="Calibri"/>
          <w:sz w:val="44"/>
          <w:szCs w:val="44"/>
        </w:rPr>
        <w:t xml:space="preserve">TRIENNALE </w:t>
      </w:r>
      <w:proofErr w:type="spellStart"/>
      <w:r w:rsidR="00F23004" w:rsidRPr="00B67FEC">
        <w:rPr>
          <w:rFonts w:cs="Calibri"/>
          <w:sz w:val="44"/>
          <w:szCs w:val="44"/>
        </w:rPr>
        <w:t>DI</w:t>
      </w:r>
      <w:proofErr w:type="spellEnd"/>
    </w:p>
    <w:p w:rsidR="00095BC1" w:rsidRPr="00B67FEC" w:rsidRDefault="00095BC1" w:rsidP="00DD3386">
      <w:pPr>
        <w:jc w:val="center"/>
        <w:rPr>
          <w:rFonts w:cs="Calibri"/>
          <w:sz w:val="44"/>
          <w:szCs w:val="44"/>
        </w:rPr>
      </w:pPr>
      <w:r w:rsidRPr="00B67FEC">
        <w:rPr>
          <w:rFonts w:cs="Calibri"/>
          <w:sz w:val="44"/>
          <w:szCs w:val="44"/>
        </w:rPr>
        <w:t>PREVENZIONE DELLA CORRUZIONE</w:t>
      </w:r>
      <w:r w:rsidR="00D27633" w:rsidRPr="00B67FEC">
        <w:rPr>
          <w:rFonts w:cs="Calibri"/>
          <w:sz w:val="44"/>
          <w:szCs w:val="44"/>
        </w:rPr>
        <w:t xml:space="preserve"> E TRASPARENZA</w:t>
      </w:r>
    </w:p>
    <w:p w:rsidR="00095BC1" w:rsidRPr="00DA60F3" w:rsidRDefault="00A03040" w:rsidP="00DD3386">
      <w:pPr>
        <w:jc w:val="center"/>
        <w:rPr>
          <w:rFonts w:cs="Calibri"/>
          <w:sz w:val="44"/>
          <w:szCs w:val="44"/>
        </w:rPr>
      </w:pPr>
      <w:r w:rsidRPr="00DA60F3">
        <w:rPr>
          <w:rFonts w:cs="Calibri"/>
          <w:sz w:val="44"/>
          <w:szCs w:val="44"/>
        </w:rPr>
        <w:t>202</w:t>
      </w:r>
      <w:r w:rsidR="00DC3825" w:rsidRPr="00DA60F3">
        <w:rPr>
          <w:rFonts w:cs="Calibri"/>
          <w:sz w:val="44"/>
          <w:szCs w:val="44"/>
        </w:rPr>
        <w:t>2</w:t>
      </w:r>
      <w:r w:rsidRPr="00DA60F3">
        <w:rPr>
          <w:rFonts w:cs="Calibri"/>
          <w:sz w:val="44"/>
          <w:szCs w:val="44"/>
        </w:rPr>
        <w:t xml:space="preserve"> </w:t>
      </w:r>
      <w:r w:rsidR="00DD3386" w:rsidRPr="00DA60F3">
        <w:rPr>
          <w:rFonts w:cs="Calibri"/>
          <w:sz w:val="44"/>
          <w:szCs w:val="44"/>
        </w:rPr>
        <w:t>–</w:t>
      </w:r>
      <w:r w:rsidRPr="00DA60F3">
        <w:rPr>
          <w:rFonts w:cs="Calibri"/>
          <w:sz w:val="44"/>
          <w:szCs w:val="44"/>
        </w:rPr>
        <w:t xml:space="preserve"> 202</w:t>
      </w:r>
      <w:r w:rsidR="00DC3825" w:rsidRPr="00DA60F3">
        <w:rPr>
          <w:rFonts w:cs="Calibri"/>
          <w:sz w:val="44"/>
          <w:szCs w:val="44"/>
        </w:rPr>
        <w:t>4</w:t>
      </w:r>
    </w:p>
    <w:p w:rsidR="00DD3386" w:rsidRPr="00DA60F3" w:rsidRDefault="00DD3386" w:rsidP="00DD3386">
      <w:pPr>
        <w:jc w:val="center"/>
        <w:rPr>
          <w:rFonts w:cs="Calibri"/>
          <w:sz w:val="44"/>
          <w:szCs w:val="44"/>
        </w:rPr>
      </w:pPr>
      <w:r w:rsidRPr="00DA60F3">
        <w:rPr>
          <w:rFonts w:cs="Calibri"/>
          <w:sz w:val="44"/>
          <w:szCs w:val="44"/>
        </w:rPr>
        <w:t>ADEGUATO AL PNA 2019</w:t>
      </w:r>
      <w:r w:rsidR="00DC3825" w:rsidRPr="00DA60F3">
        <w:rPr>
          <w:rFonts w:cs="Calibri"/>
          <w:sz w:val="44"/>
          <w:szCs w:val="44"/>
        </w:rPr>
        <w:t xml:space="preserve"> e agli </w:t>
      </w:r>
    </w:p>
    <w:p w:rsidR="00DC3825" w:rsidRPr="00DA60F3" w:rsidRDefault="00DC3825" w:rsidP="00DD3386">
      <w:pPr>
        <w:jc w:val="center"/>
        <w:rPr>
          <w:rFonts w:cs="Calibri"/>
          <w:sz w:val="44"/>
          <w:szCs w:val="44"/>
        </w:rPr>
      </w:pPr>
      <w:r w:rsidRPr="00DA60F3">
        <w:rPr>
          <w:rFonts w:cs="Calibri"/>
          <w:sz w:val="44"/>
          <w:szCs w:val="44"/>
        </w:rPr>
        <w:t>ORIENTAMENTI ANAC 2022</w:t>
      </w:r>
    </w:p>
    <w:p w:rsidR="00095BC1" w:rsidRPr="00B67FEC" w:rsidRDefault="00095BC1" w:rsidP="0049154B">
      <w:pPr>
        <w:rPr>
          <w:rFonts w:cs="Calibri"/>
          <w:szCs w:val="20"/>
        </w:rPr>
      </w:pPr>
    </w:p>
    <w:p w:rsidR="00095BC1" w:rsidRPr="00B67FEC" w:rsidRDefault="00095BC1" w:rsidP="0049154B">
      <w:pPr>
        <w:rPr>
          <w:rFonts w:cs="Calibri"/>
          <w:szCs w:val="20"/>
        </w:rPr>
      </w:pPr>
    </w:p>
    <w:p w:rsidR="00095BC1" w:rsidRPr="00B67FEC" w:rsidRDefault="00095BC1" w:rsidP="0049154B">
      <w:pPr>
        <w:rPr>
          <w:rFonts w:cs="Calibri"/>
          <w:szCs w:val="20"/>
        </w:rPr>
      </w:pPr>
    </w:p>
    <w:p w:rsidR="00095BC1" w:rsidRPr="00B67FEC" w:rsidRDefault="00095BC1" w:rsidP="0049154B">
      <w:pPr>
        <w:rPr>
          <w:rFonts w:cs="Calibri"/>
          <w:szCs w:val="20"/>
        </w:rPr>
      </w:pPr>
    </w:p>
    <w:p w:rsidR="00095BC1" w:rsidRPr="00B67FEC" w:rsidRDefault="00095BC1" w:rsidP="0049154B">
      <w:pPr>
        <w:rPr>
          <w:rFonts w:cs="Calibri"/>
          <w:szCs w:val="20"/>
        </w:rPr>
      </w:pPr>
    </w:p>
    <w:p w:rsidR="00095BC1" w:rsidRPr="00B67FEC" w:rsidRDefault="00095BC1" w:rsidP="0049154B">
      <w:pPr>
        <w:rPr>
          <w:rFonts w:cs="Calibri"/>
          <w:szCs w:val="20"/>
        </w:rPr>
      </w:pPr>
    </w:p>
    <w:p w:rsidR="00095BC1" w:rsidRPr="00B67FEC" w:rsidRDefault="00095BC1" w:rsidP="0049154B">
      <w:pPr>
        <w:rPr>
          <w:rFonts w:cs="Calibri"/>
          <w:szCs w:val="20"/>
        </w:rPr>
      </w:pPr>
    </w:p>
    <w:p w:rsidR="00095BC1" w:rsidRPr="00B67FEC" w:rsidRDefault="00095BC1" w:rsidP="0049154B">
      <w:pPr>
        <w:rPr>
          <w:rFonts w:cs="Calibri"/>
          <w:szCs w:val="20"/>
        </w:rPr>
      </w:pPr>
    </w:p>
    <w:p w:rsidR="008F710D" w:rsidRPr="00B67FEC" w:rsidRDefault="008F710D" w:rsidP="0049154B">
      <w:pPr>
        <w:rPr>
          <w:rFonts w:cs="Calibri"/>
          <w:szCs w:val="20"/>
        </w:rPr>
      </w:pPr>
    </w:p>
    <w:p w:rsidR="008F710D" w:rsidRPr="00B67FEC" w:rsidRDefault="008F710D" w:rsidP="0049154B">
      <w:pPr>
        <w:rPr>
          <w:rFonts w:cs="Calibri"/>
          <w:szCs w:val="20"/>
        </w:rPr>
      </w:pPr>
    </w:p>
    <w:p w:rsidR="008F710D" w:rsidRPr="00B67FEC" w:rsidRDefault="008F710D" w:rsidP="0049154B">
      <w:pPr>
        <w:rPr>
          <w:rFonts w:cs="Calibri"/>
          <w:szCs w:val="20"/>
        </w:rPr>
      </w:pPr>
    </w:p>
    <w:p w:rsidR="008F710D" w:rsidRPr="00B67FEC" w:rsidRDefault="008F710D" w:rsidP="0049154B">
      <w:pPr>
        <w:rPr>
          <w:rFonts w:cs="Calibri"/>
          <w:szCs w:val="20"/>
        </w:rPr>
      </w:pPr>
    </w:p>
    <w:p w:rsidR="008F710D" w:rsidRPr="00B67FEC" w:rsidRDefault="008F710D" w:rsidP="0049154B">
      <w:pPr>
        <w:rPr>
          <w:rFonts w:cs="Calibri"/>
          <w:szCs w:val="20"/>
        </w:rPr>
      </w:pPr>
    </w:p>
    <w:p w:rsidR="008F710D" w:rsidRPr="00B67FEC" w:rsidRDefault="008F710D" w:rsidP="0049154B">
      <w:pPr>
        <w:rPr>
          <w:rFonts w:cs="Calibri"/>
          <w:szCs w:val="20"/>
        </w:rPr>
      </w:pPr>
    </w:p>
    <w:p w:rsidR="00DC3825" w:rsidRDefault="006F4B7A" w:rsidP="00EA2257">
      <w:r>
        <w:t xml:space="preserve">Approvato dall’AU Ing. Giacomo D’Amato in data </w:t>
      </w:r>
      <w:r w:rsidR="00DC3825">
        <w:t>30</w:t>
      </w:r>
      <w:r>
        <w:t>/0</w:t>
      </w:r>
      <w:r w:rsidR="00DC3825">
        <w:t>4</w:t>
      </w:r>
      <w:r>
        <w:t>/202</w:t>
      </w:r>
      <w:r w:rsidR="00DC3825">
        <w:t>2</w:t>
      </w:r>
      <w:r>
        <w:t xml:space="preserve"> </w:t>
      </w:r>
    </w:p>
    <w:p w:rsidR="006F4B7A" w:rsidRDefault="006F4B7A" w:rsidP="00EA2257">
      <w:r>
        <w:t>Predisposto dal Responsabile della Prevenzione della Corruzione e Trasparenza Dr. Fabio Moroni</w:t>
      </w:r>
    </w:p>
    <w:p w:rsidR="006F4B7A" w:rsidRDefault="006F4B7A">
      <w:pPr>
        <w:spacing w:line="240" w:lineRule="auto"/>
        <w:jc w:val="left"/>
      </w:pPr>
      <w:r>
        <w:br w:type="page"/>
      </w:r>
    </w:p>
    <w:p w:rsidR="00BC3905" w:rsidRPr="00B67FEC" w:rsidRDefault="00BC3905" w:rsidP="00EA2257"/>
    <w:p w:rsidR="00E73686" w:rsidRPr="00B67FEC" w:rsidRDefault="00E73686" w:rsidP="00DD3386">
      <w:pPr>
        <w:pStyle w:val="Titolosommario"/>
        <w:spacing w:after="240"/>
        <w:rPr>
          <w:rFonts w:ascii="Calibri" w:hAnsi="Calibri" w:cs="Calibri"/>
        </w:rPr>
      </w:pPr>
      <w:r w:rsidRPr="00B67FEC">
        <w:rPr>
          <w:rFonts w:ascii="Calibri" w:hAnsi="Calibri" w:cs="Calibri"/>
        </w:rPr>
        <w:t>Sommario</w:t>
      </w:r>
    </w:p>
    <w:p w:rsidR="006F5EF7" w:rsidRDefault="00787A42">
      <w:pPr>
        <w:pStyle w:val="Sommario1"/>
        <w:rPr>
          <w:rFonts w:asciiTheme="minorHAnsi" w:eastAsiaTheme="minorEastAsia" w:hAnsiTheme="minorHAnsi" w:cstheme="minorBidi"/>
          <w:b w:val="0"/>
          <w:bCs w:val="0"/>
          <w:caps w:val="0"/>
          <w:sz w:val="22"/>
          <w:szCs w:val="22"/>
        </w:rPr>
      </w:pPr>
      <w:r w:rsidRPr="00787A42">
        <w:rPr>
          <w:rFonts w:cs="Calibri"/>
          <w:b w:val="0"/>
        </w:rPr>
        <w:fldChar w:fldCharType="begin"/>
      </w:r>
      <w:r w:rsidR="00E73686" w:rsidRPr="00B67FEC">
        <w:rPr>
          <w:rFonts w:cs="Calibri"/>
          <w:b w:val="0"/>
        </w:rPr>
        <w:instrText xml:space="preserve"> TOC \o "1-3" \h \z \u </w:instrText>
      </w:r>
      <w:r w:rsidRPr="00787A42">
        <w:rPr>
          <w:rFonts w:cs="Calibri"/>
          <w:b w:val="0"/>
        </w:rPr>
        <w:fldChar w:fldCharType="separate"/>
      </w:r>
      <w:hyperlink w:anchor="_Toc101601996" w:history="1">
        <w:r w:rsidR="006F5EF7" w:rsidRPr="0076417F">
          <w:rPr>
            <w:rStyle w:val="Collegamentoipertestuale"/>
          </w:rPr>
          <w:t>PREMESSA</w:t>
        </w:r>
        <w:r w:rsidR="006F5EF7">
          <w:rPr>
            <w:webHidden/>
          </w:rPr>
          <w:tab/>
        </w:r>
        <w:r>
          <w:rPr>
            <w:webHidden/>
          </w:rPr>
          <w:fldChar w:fldCharType="begin"/>
        </w:r>
        <w:r w:rsidR="006F5EF7">
          <w:rPr>
            <w:webHidden/>
          </w:rPr>
          <w:instrText xml:space="preserve"> PAGEREF _Toc101601996 \h </w:instrText>
        </w:r>
        <w:r>
          <w:rPr>
            <w:webHidden/>
          </w:rPr>
        </w:r>
        <w:r>
          <w:rPr>
            <w:webHidden/>
          </w:rPr>
          <w:fldChar w:fldCharType="separate"/>
        </w:r>
        <w:r w:rsidR="006F5EF7">
          <w:rPr>
            <w:webHidden/>
          </w:rPr>
          <w:t>4</w:t>
        </w:r>
        <w:r>
          <w:rPr>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1997" w:history="1">
        <w:r w:rsidR="006F5EF7" w:rsidRPr="0076417F">
          <w:rPr>
            <w:rStyle w:val="Collegamentoipertestuale"/>
            <w:noProof/>
          </w:rPr>
          <w:t>L’integrazione con il D.lgs. 231/2001</w:t>
        </w:r>
        <w:r w:rsidR="006F5EF7">
          <w:rPr>
            <w:noProof/>
            <w:webHidden/>
          </w:rPr>
          <w:tab/>
        </w:r>
        <w:r>
          <w:rPr>
            <w:noProof/>
            <w:webHidden/>
          </w:rPr>
          <w:fldChar w:fldCharType="begin"/>
        </w:r>
        <w:r w:rsidR="006F5EF7">
          <w:rPr>
            <w:noProof/>
            <w:webHidden/>
          </w:rPr>
          <w:instrText xml:space="preserve"> PAGEREF _Toc101601997 \h </w:instrText>
        </w:r>
        <w:r>
          <w:rPr>
            <w:noProof/>
            <w:webHidden/>
          </w:rPr>
        </w:r>
        <w:r>
          <w:rPr>
            <w:noProof/>
            <w:webHidden/>
          </w:rPr>
          <w:fldChar w:fldCharType="separate"/>
        </w:r>
        <w:r w:rsidR="006F5EF7">
          <w:rPr>
            <w:noProof/>
            <w:webHidden/>
          </w:rPr>
          <w:t>6</w:t>
        </w:r>
        <w:r>
          <w:rPr>
            <w:noProof/>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1998" w:history="1">
        <w:r w:rsidR="006F5EF7" w:rsidRPr="0076417F">
          <w:rPr>
            <w:rStyle w:val="Collegamentoipertestuale"/>
          </w:rPr>
          <w:t>A. INFORMAZIONI DI CARATTERE GENERALE</w:t>
        </w:r>
        <w:r w:rsidR="006F5EF7">
          <w:rPr>
            <w:webHidden/>
          </w:rPr>
          <w:tab/>
        </w:r>
        <w:r>
          <w:rPr>
            <w:webHidden/>
          </w:rPr>
          <w:fldChar w:fldCharType="begin"/>
        </w:r>
        <w:r w:rsidR="006F5EF7">
          <w:rPr>
            <w:webHidden/>
          </w:rPr>
          <w:instrText xml:space="preserve"> PAGEREF _Toc101601998 \h </w:instrText>
        </w:r>
        <w:r>
          <w:rPr>
            <w:webHidden/>
          </w:rPr>
        </w:r>
        <w:r>
          <w:rPr>
            <w:webHidden/>
          </w:rPr>
          <w:fldChar w:fldCharType="separate"/>
        </w:r>
        <w:r w:rsidR="006F5EF7">
          <w:rPr>
            <w:webHidden/>
          </w:rPr>
          <w:t>7</w:t>
        </w:r>
        <w:r>
          <w:rPr>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1999" w:history="1">
        <w:r w:rsidR="006F5EF7" w:rsidRPr="0076417F">
          <w:rPr>
            <w:rStyle w:val="Collegamentoipertestuale"/>
            <w:rFonts w:cs="Calibri"/>
          </w:rPr>
          <w:t>B. PROCESSO DI REDAZIONE E APPROVAZIONE DEL PTPCeT</w:t>
        </w:r>
        <w:r w:rsidR="006F5EF7">
          <w:rPr>
            <w:webHidden/>
          </w:rPr>
          <w:tab/>
        </w:r>
        <w:r>
          <w:rPr>
            <w:webHidden/>
          </w:rPr>
          <w:fldChar w:fldCharType="begin"/>
        </w:r>
        <w:r w:rsidR="006F5EF7">
          <w:rPr>
            <w:webHidden/>
          </w:rPr>
          <w:instrText xml:space="preserve"> PAGEREF _Toc101601999 \h </w:instrText>
        </w:r>
        <w:r>
          <w:rPr>
            <w:webHidden/>
          </w:rPr>
        </w:r>
        <w:r>
          <w:rPr>
            <w:webHidden/>
          </w:rPr>
          <w:fldChar w:fldCharType="separate"/>
        </w:r>
        <w:r w:rsidR="006F5EF7">
          <w:rPr>
            <w:webHidden/>
          </w:rPr>
          <w:t>8</w:t>
        </w:r>
        <w:r>
          <w:rPr>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00" w:history="1">
        <w:r w:rsidR="006F5EF7" w:rsidRPr="0076417F">
          <w:rPr>
            <w:rStyle w:val="Collegamentoipertestuale"/>
            <w:noProof/>
          </w:rPr>
          <w:t>La finalità</w:t>
        </w:r>
        <w:r w:rsidR="006F5EF7">
          <w:rPr>
            <w:noProof/>
            <w:webHidden/>
          </w:rPr>
          <w:tab/>
        </w:r>
        <w:r>
          <w:rPr>
            <w:noProof/>
            <w:webHidden/>
          </w:rPr>
          <w:fldChar w:fldCharType="begin"/>
        </w:r>
        <w:r w:rsidR="006F5EF7">
          <w:rPr>
            <w:noProof/>
            <w:webHidden/>
          </w:rPr>
          <w:instrText xml:space="preserve"> PAGEREF _Toc101602000 \h </w:instrText>
        </w:r>
        <w:r>
          <w:rPr>
            <w:noProof/>
            <w:webHidden/>
          </w:rPr>
        </w:r>
        <w:r>
          <w:rPr>
            <w:noProof/>
            <w:webHidden/>
          </w:rPr>
          <w:fldChar w:fldCharType="separate"/>
        </w:r>
        <w:r w:rsidR="006F5EF7">
          <w:rPr>
            <w:noProof/>
            <w:webHidden/>
          </w:rPr>
          <w:t>8</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01" w:history="1">
        <w:r w:rsidR="006F5EF7" w:rsidRPr="0076417F">
          <w:rPr>
            <w:rStyle w:val="Collegamentoipertestuale"/>
            <w:noProof/>
          </w:rPr>
          <w:t>Le fasi</w:t>
        </w:r>
        <w:r w:rsidR="006F5EF7">
          <w:rPr>
            <w:noProof/>
            <w:webHidden/>
          </w:rPr>
          <w:tab/>
        </w:r>
        <w:r>
          <w:rPr>
            <w:noProof/>
            <w:webHidden/>
          </w:rPr>
          <w:fldChar w:fldCharType="begin"/>
        </w:r>
        <w:r w:rsidR="006F5EF7">
          <w:rPr>
            <w:noProof/>
            <w:webHidden/>
          </w:rPr>
          <w:instrText xml:space="preserve"> PAGEREF _Toc101602001 \h </w:instrText>
        </w:r>
        <w:r>
          <w:rPr>
            <w:noProof/>
            <w:webHidden/>
          </w:rPr>
        </w:r>
        <w:r>
          <w:rPr>
            <w:noProof/>
            <w:webHidden/>
          </w:rPr>
          <w:fldChar w:fldCharType="separate"/>
        </w:r>
        <w:r w:rsidR="006F5EF7">
          <w:rPr>
            <w:noProof/>
            <w:webHidden/>
          </w:rPr>
          <w:t>8</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02" w:history="1">
        <w:r w:rsidR="006F5EF7" w:rsidRPr="0076417F">
          <w:rPr>
            <w:rStyle w:val="Collegamentoipertestuale"/>
            <w:noProof/>
          </w:rPr>
          <w:t>Il coinvolgimento attivo degli organi di indirizzo politico amministrativo, del Personale della Società e degli altri stakeholder</w:t>
        </w:r>
        <w:r w:rsidR="006F5EF7">
          <w:rPr>
            <w:noProof/>
            <w:webHidden/>
          </w:rPr>
          <w:tab/>
        </w:r>
        <w:r>
          <w:rPr>
            <w:noProof/>
            <w:webHidden/>
          </w:rPr>
          <w:fldChar w:fldCharType="begin"/>
        </w:r>
        <w:r w:rsidR="006F5EF7">
          <w:rPr>
            <w:noProof/>
            <w:webHidden/>
          </w:rPr>
          <w:instrText xml:space="preserve"> PAGEREF _Toc101602002 \h </w:instrText>
        </w:r>
        <w:r>
          <w:rPr>
            <w:noProof/>
            <w:webHidden/>
          </w:rPr>
        </w:r>
        <w:r>
          <w:rPr>
            <w:noProof/>
            <w:webHidden/>
          </w:rPr>
          <w:fldChar w:fldCharType="separate"/>
        </w:r>
        <w:r w:rsidR="006F5EF7">
          <w:rPr>
            <w:noProof/>
            <w:webHidden/>
          </w:rPr>
          <w:t>9</w:t>
        </w:r>
        <w:r>
          <w:rPr>
            <w:noProof/>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2003" w:history="1">
        <w:r w:rsidR="006F5EF7" w:rsidRPr="0076417F">
          <w:rPr>
            <w:rStyle w:val="Collegamentoipertestuale"/>
            <w:rFonts w:cs="Calibri"/>
          </w:rPr>
          <w:t>C. SISTEMA DI GOVERNANCE</w:t>
        </w:r>
        <w:r w:rsidR="006F5EF7">
          <w:rPr>
            <w:webHidden/>
          </w:rPr>
          <w:tab/>
        </w:r>
        <w:r>
          <w:rPr>
            <w:webHidden/>
          </w:rPr>
          <w:fldChar w:fldCharType="begin"/>
        </w:r>
        <w:r w:rsidR="006F5EF7">
          <w:rPr>
            <w:webHidden/>
          </w:rPr>
          <w:instrText xml:space="preserve"> PAGEREF _Toc101602003 \h </w:instrText>
        </w:r>
        <w:r>
          <w:rPr>
            <w:webHidden/>
          </w:rPr>
        </w:r>
        <w:r>
          <w:rPr>
            <w:webHidden/>
          </w:rPr>
          <w:fldChar w:fldCharType="separate"/>
        </w:r>
        <w:r w:rsidR="006F5EF7">
          <w:rPr>
            <w:webHidden/>
          </w:rPr>
          <w:t>11</w:t>
        </w:r>
        <w:r>
          <w:rPr>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04" w:history="1">
        <w:r w:rsidR="006F5EF7" w:rsidRPr="0076417F">
          <w:rPr>
            <w:rStyle w:val="Collegamentoipertestuale"/>
            <w:noProof/>
          </w:rPr>
          <w:t>Sottosezione Organo di indirizzo – AU</w:t>
        </w:r>
        <w:r w:rsidR="006F5EF7">
          <w:rPr>
            <w:noProof/>
            <w:webHidden/>
          </w:rPr>
          <w:tab/>
        </w:r>
        <w:r>
          <w:rPr>
            <w:noProof/>
            <w:webHidden/>
          </w:rPr>
          <w:fldChar w:fldCharType="begin"/>
        </w:r>
        <w:r w:rsidR="006F5EF7">
          <w:rPr>
            <w:noProof/>
            <w:webHidden/>
          </w:rPr>
          <w:instrText xml:space="preserve"> PAGEREF _Toc101602004 \h </w:instrText>
        </w:r>
        <w:r>
          <w:rPr>
            <w:noProof/>
            <w:webHidden/>
          </w:rPr>
        </w:r>
        <w:r>
          <w:rPr>
            <w:noProof/>
            <w:webHidden/>
          </w:rPr>
          <w:fldChar w:fldCharType="separate"/>
        </w:r>
        <w:r w:rsidR="006F5EF7">
          <w:rPr>
            <w:noProof/>
            <w:webHidden/>
          </w:rPr>
          <w:t>11</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05" w:history="1">
        <w:r w:rsidR="006F5EF7" w:rsidRPr="0076417F">
          <w:rPr>
            <w:rStyle w:val="Collegamentoipertestuale"/>
            <w:noProof/>
          </w:rPr>
          <w:t xml:space="preserve">Sottosezione Responsabile per la prevenzione della corruzione e trasparenza – RPC </w:t>
        </w:r>
        <w:r w:rsidR="006F5EF7" w:rsidRPr="0076417F">
          <w:rPr>
            <w:rStyle w:val="Collegamentoipertestuale"/>
            <w:rFonts w:cstheme="minorHAnsi"/>
            <w:noProof/>
          </w:rPr>
          <w:t>poteri di interlocuzione e controllo| C.1</w:t>
        </w:r>
        <w:r w:rsidR="006F5EF7">
          <w:rPr>
            <w:noProof/>
            <w:webHidden/>
          </w:rPr>
          <w:tab/>
        </w:r>
        <w:r w:rsidR="00B64604">
          <w:rPr>
            <w:noProof/>
            <w:webHidden/>
          </w:rPr>
          <w:tab/>
        </w:r>
        <w:r>
          <w:rPr>
            <w:noProof/>
            <w:webHidden/>
          </w:rPr>
          <w:fldChar w:fldCharType="begin"/>
        </w:r>
        <w:r w:rsidR="006F5EF7">
          <w:rPr>
            <w:noProof/>
            <w:webHidden/>
          </w:rPr>
          <w:instrText xml:space="preserve"> PAGEREF _Toc101602005 \h </w:instrText>
        </w:r>
        <w:r>
          <w:rPr>
            <w:noProof/>
            <w:webHidden/>
          </w:rPr>
        </w:r>
        <w:r>
          <w:rPr>
            <w:noProof/>
            <w:webHidden/>
          </w:rPr>
          <w:fldChar w:fldCharType="separate"/>
        </w:r>
        <w:r w:rsidR="006F5EF7">
          <w:rPr>
            <w:noProof/>
            <w:webHidden/>
          </w:rPr>
          <w:t>11</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06" w:history="1">
        <w:r w:rsidR="006F5EF7" w:rsidRPr="0076417F">
          <w:rPr>
            <w:rStyle w:val="Collegamentoipertestuale"/>
            <w:noProof/>
          </w:rPr>
          <w:t>Sottosezione Organismo di vigilanza MOG 231:</w:t>
        </w:r>
        <w:r w:rsidR="006F5EF7">
          <w:rPr>
            <w:noProof/>
            <w:webHidden/>
          </w:rPr>
          <w:tab/>
        </w:r>
        <w:r>
          <w:rPr>
            <w:noProof/>
            <w:webHidden/>
          </w:rPr>
          <w:fldChar w:fldCharType="begin"/>
        </w:r>
        <w:r w:rsidR="006F5EF7">
          <w:rPr>
            <w:noProof/>
            <w:webHidden/>
          </w:rPr>
          <w:instrText xml:space="preserve"> PAGEREF _Toc101602006 \h </w:instrText>
        </w:r>
        <w:r>
          <w:rPr>
            <w:noProof/>
            <w:webHidden/>
          </w:rPr>
        </w:r>
        <w:r>
          <w:rPr>
            <w:noProof/>
            <w:webHidden/>
          </w:rPr>
          <w:fldChar w:fldCharType="separate"/>
        </w:r>
        <w:r w:rsidR="006F5EF7">
          <w:rPr>
            <w:noProof/>
            <w:webHidden/>
          </w:rPr>
          <w:t>12</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07" w:history="1">
        <w:r w:rsidR="006F5EF7" w:rsidRPr="0076417F">
          <w:rPr>
            <w:rStyle w:val="Collegamentoipertestuale"/>
            <w:noProof/>
          </w:rPr>
          <w:t xml:space="preserve">Sottosezione Referenti e Responsabili di Unità Organizzativa </w:t>
        </w:r>
        <w:r w:rsidR="006F5EF7" w:rsidRPr="0076417F">
          <w:rPr>
            <w:rStyle w:val="Collegamentoipertestuale"/>
            <w:rFonts w:cstheme="minorHAnsi"/>
            <w:noProof/>
          </w:rPr>
          <w:t>| C.6 e C.11</w:t>
        </w:r>
        <w:r w:rsidR="006F5EF7">
          <w:rPr>
            <w:noProof/>
            <w:webHidden/>
          </w:rPr>
          <w:tab/>
        </w:r>
        <w:r>
          <w:rPr>
            <w:noProof/>
            <w:webHidden/>
          </w:rPr>
          <w:fldChar w:fldCharType="begin"/>
        </w:r>
        <w:r w:rsidR="006F5EF7">
          <w:rPr>
            <w:noProof/>
            <w:webHidden/>
          </w:rPr>
          <w:instrText xml:space="preserve"> PAGEREF _Toc101602007 \h </w:instrText>
        </w:r>
        <w:r>
          <w:rPr>
            <w:noProof/>
            <w:webHidden/>
          </w:rPr>
        </w:r>
        <w:r>
          <w:rPr>
            <w:noProof/>
            <w:webHidden/>
          </w:rPr>
          <w:fldChar w:fldCharType="separate"/>
        </w:r>
        <w:r w:rsidR="006F5EF7">
          <w:rPr>
            <w:noProof/>
            <w:webHidden/>
          </w:rPr>
          <w:t>12</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08" w:history="1">
        <w:r w:rsidR="006F5EF7" w:rsidRPr="0076417F">
          <w:rPr>
            <w:rStyle w:val="Collegamentoipertestuale"/>
            <w:noProof/>
          </w:rPr>
          <w:t>Sottosezione tutti i dipendenti di Segrate Servizi Srl</w:t>
        </w:r>
        <w:r w:rsidR="006F5EF7">
          <w:rPr>
            <w:noProof/>
            <w:webHidden/>
          </w:rPr>
          <w:tab/>
        </w:r>
        <w:r>
          <w:rPr>
            <w:noProof/>
            <w:webHidden/>
          </w:rPr>
          <w:fldChar w:fldCharType="begin"/>
        </w:r>
        <w:r w:rsidR="006F5EF7">
          <w:rPr>
            <w:noProof/>
            <w:webHidden/>
          </w:rPr>
          <w:instrText xml:space="preserve"> PAGEREF _Toc101602008 \h </w:instrText>
        </w:r>
        <w:r>
          <w:rPr>
            <w:noProof/>
            <w:webHidden/>
          </w:rPr>
        </w:r>
        <w:r>
          <w:rPr>
            <w:noProof/>
            <w:webHidden/>
          </w:rPr>
          <w:fldChar w:fldCharType="separate"/>
        </w:r>
        <w:r w:rsidR="006F5EF7">
          <w:rPr>
            <w:noProof/>
            <w:webHidden/>
          </w:rPr>
          <w:t>12</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09" w:history="1">
        <w:r w:rsidR="006F5EF7" w:rsidRPr="0076417F">
          <w:rPr>
            <w:rStyle w:val="Collegamentoipertestuale"/>
            <w:noProof/>
          </w:rPr>
          <w:t>Sottosezione collaboratori a qualsiasi titolo della Società</w:t>
        </w:r>
        <w:r w:rsidR="006F5EF7">
          <w:rPr>
            <w:noProof/>
            <w:webHidden/>
          </w:rPr>
          <w:tab/>
        </w:r>
        <w:r>
          <w:rPr>
            <w:noProof/>
            <w:webHidden/>
          </w:rPr>
          <w:fldChar w:fldCharType="begin"/>
        </w:r>
        <w:r w:rsidR="006F5EF7">
          <w:rPr>
            <w:noProof/>
            <w:webHidden/>
          </w:rPr>
          <w:instrText xml:space="preserve"> PAGEREF _Toc101602009 \h </w:instrText>
        </w:r>
        <w:r>
          <w:rPr>
            <w:noProof/>
            <w:webHidden/>
          </w:rPr>
        </w:r>
        <w:r>
          <w:rPr>
            <w:noProof/>
            <w:webHidden/>
          </w:rPr>
          <w:fldChar w:fldCharType="separate"/>
        </w:r>
        <w:r w:rsidR="006F5EF7">
          <w:rPr>
            <w:noProof/>
            <w:webHidden/>
          </w:rPr>
          <w:t>13</w:t>
        </w:r>
        <w:r>
          <w:rPr>
            <w:noProof/>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2010" w:history="1">
        <w:r w:rsidR="006F5EF7" w:rsidRPr="0076417F">
          <w:rPr>
            <w:rStyle w:val="Collegamentoipertestuale"/>
            <w:rFonts w:cs="Calibri"/>
          </w:rPr>
          <w:t>LE RESPONSABILITÀ</w:t>
        </w:r>
        <w:r w:rsidR="006F5EF7">
          <w:rPr>
            <w:webHidden/>
          </w:rPr>
          <w:tab/>
        </w:r>
        <w:r>
          <w:rPr>
            <w:webHidden/>
          </w:rPr>
          <w:fldChar w:fldCharType="begin"/>
        </w:r>
        <w:r w:rsidR="006F5EF7">
          <w:rPr>
            <w:webHidden/>
          </w:rPr>
          <w:instrText xml:space="preserve"> PAGEREF _Toc101602010 \h </w:instrText>
        </w:r>
        <w:r>
          <w:rPr>
            <w:webHidden/>
          </w:rPr>
        </w:r>
        <w:r>
          <w:rPr>
            <w:webHidden/>
          </w:rPr>
          <w:fldChar w:fldCharType="separate"/>
        </w:r>
        <w:r w:rsidR="006F5EF7">
          <w:rPr>
            <w:webHidden/>
          </w:rPr>
          <w:t>13</w:t>
        </w:r>
        <w:r>
          <w:rPr>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11" w:history="1">
        <w:r w:rsidR="006F5EF7" w:rsidRPr="0076417F">
          <w:rPr>
            <w:rStyle w:val="Collegamentoipertestuale"/>
            <w:noProof/>
          </w:rPr>
          <w:t>Del RPC</w:t>
        </w:r>
        <w:r w:rsidR="006F5EF7">
          <w:rPr>
            <w:noProof/>
            <w:webHidden/>
          </w:rPr>
          <w:tab/>
        </w:r>
        <w:r>
          <w:rPr>
            <w:noProof/>
            <w:webHidden/>
          </w:rPr>
          <w:fldChar w:fldCharType="begin"/>
        </w:r>
        <w:r w:rsidR="006F5EF7">
          <w:rPr>
            <w:noProof/>
            <w:webHidden/>
          </w:rPr>
          <w:instrText xml:space="preserve"> PAGEREF _Toc101602011 \h </w:instrText>
        </w:r>
        <w:r>
          <w:rPr>
            <w:noProof/>
            <w:webHidden/>
          </w:rPr>
        </w:r>
        <w:r>
          <w:rPr>
            <w:noProof/>
            <w:webHidden/>
          </w:rPr>
          <w:fldChar w:fldCharType="separate"/>
        </w:r>
        <w:r w:rsidR="006F5EF7">
          <w:rPr>
            <w:noProof/>
            <w:webHidden/>
          </w:rPr>
          <w:t>13</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12" w:history="1">
        <w:r w:rsidR="006F5EF7" w:rsidRPr="0076417F">
          <w:rPr>
            <w:rStyle w:val="Collegamentoipertestuale"/>
            <w:noProof/>
          </w:rPr>
          <w:t>Dei dipendenti per violazione delle misure di prevenzione</w:t>
        </w:r>
        <w:r w:rsidR="006F5EF7">
          <w:rPr>
            <w:noProof/>
            <w:webHidden/>
          </w:rPr>
          <w:tab/>
        </w:r>
        <w:r>
          <w:rPr>
            <w:noProof/>
            <w:webHidden/>
          </w:rPr>
          <w:fldChar w:fldCharType="begin"/>
        </w:r>
        <w:r w:rsidR="006F5EF7">
          <w:rPr>
            <w:noProof/>
            <w:webHidden/>
          </w:rPr>
          <w:instrText xml:space="preserve"> PAGEREF _Toc101602012 \h </w:instrText>
        </w:r>
        <w:r>
          <w:rPr>
            <w:noProof/>
            <w:webHidden/>
          </w:rPr>
        </w:r>
        <w:r>
          <w:rPr>
            <w:noProof/>
            <w:webHidden/>
          </w:rPr>
          <w:fldChar w:fldCharType="separate"/>
        </w:r>
        <w:r w:rsidR="006F5EF7">
          <w:rPr>
            <w:noProof/>
            <w:webHidden/>
          </w:rPr>
          <w:t>13</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13" w:history="1">
        <w:r w:rsidR="006F5EF7" w:rsidRPr="0076417F">
          <w:rPr>
            <w:rStyle w:val="Collegamentoipertestuale"/>
            <w:noProof/>
          </w:rPr>
          <w:t>Dei collaboratori per omissione totale o parziale o per ritardi nelle pubblicazioni prescritte</w:t>
        </w:r>
        <w:r w:rsidR="006F5EF7">
          <w:rPr>
            <w:noProof/>
            <w:webHidden/>
          </w:rPr>
          <w:tab/>
        </w:r>
        <w:r>
          <w:rPr>
            <w:noProof/>
            <w:webHidden/>
          </w:rPr>
          <w:fldChar w:fldCharType="begin"/>
        </w:r>
        <w:r w:rsidR="006F5EF7">
          <w:rPr>
            <w:noProof/>
            <w:webHidden/>
          </w:rPr>
          <w:instrText xml:space="preserve"> PAGEREF _Toc101602013 \h </w:instrText>
        </w:r>
        <w:r>
          <w:rPr>
            <w:noProof/>
            <w:webHidden/>
          </w:rPr>
        </w:r>
        <w:r>
          <w:rPr>
            <w:noProof/>
            <w:webHidden/>
          </w:rPr>
          <w:fldChar w:fldCharType="separate"/>
        </w:r>
        <w:r w:rsidR="006F5EF7">
          <w:rPr>
            <w:noProof/>
            <w:webHidden/>
          </w:rPr>
          <w:t>13</w:t>
        </w:r>
        <w:r>
          <w:rPr>
            <w:noProof/>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2014" w:history="1">
        <w:r w:rsidR="006F5EF7" w:rsidRPr="0076417F">
          <w:rPr>
            <w:rStyle w:val="Collegamentoipertestuale"/>
            <w:rFonts w:cs="Calibri"/>
          </w:rPr>
          <w:t>D. SISTEMA DI MONITORAGGIO | D</w:t>
        </w:r>
        <w:r w:rsidR="006F5EF7">
          <w:rPr>
            <w:webHidden/>
          </w:rPr>
          <w:tab/>
        </w:r>
        <w:r>
          <w:rPr>
            <w:webHidden/>
          </w:rPr>
          <w:fldChar w:fldCharType="begin"/>
        </w:r>
        <w:r w:rsidR="006F5EF7">
          <w:rPr>
            <w:webHidden/>
          </w:rPr>
          <w:instrText xml:space="preserve"> PAGEREF _Toc101602014 \h </w:instrText>
        </w:r>
        <w:r>
          <w:rPr>
            <w:webHidden/>
          </w:rPr>
        </w:r>
        <w:r>
          <w:rPr>
            <w:webHidden/>
          </w:rPr>
          <w:fldChar w:fldCharType="separate"/>
        </w:r>
        <w:r w:rsidR="006F5EF7">
          <w:rPr>
            <w:webHidden/>
          </w:rPr>
          <w:t>14</w:t>
        </w:r>
        <w:r>
          <w:rPr>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2015" w:history="1">
        <w:r w:rsidR="006F5EF7" w:rsidRPr="0076417F">
          <w:rPr>
            <w:rStyle w:val="Collegamentoipertestuale"/>
            <w:rFonts w:cs="Calibri"/>
          </w:rPr>
          <w:t>E. COORDINAMENTO CON GLI STRUMENTI DI PROGRAMMAZIONE</w:t>
        </w:r>
        <w:r w:rsidR="006F5EF7">
          <w:rPr>
            <w:webHidden/>
          </w:rPr>
          <w:tab/>
        </w:r>
        <w:r>
          <w:rPr>
            <w:webHidden/>
          </w:rPr>
          <w:fldChar w:fldCharType="begin"/>
        </w:r>
        <w:r w:rsidR="006F5EF7">
          <w:rPr>
            <w:webHidden/>
          </w:rPr>
          <w:instrText xml:space="preserve"> PAGEREF _Toc101602015 \h </w:instrText>
        </w:r>
        <w:r>
          <w:rPr>
            <w:webHidden/>
          </w:rPr>
        </w:r>
        <w:r>
          <w:rPr>
            <w:webHidden/>
          </w:rPr>
          <w:fldChar w:fldCharType="separate"/>
        </w:r>
        <w:r w:rsidR="006F5EF7">
          <w:rPr>
            <w:webHidden/>
          </w:rPr>
          <w:t>16</w:t>
        </w:r>
        <w:r>
          <w:rPr>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16" w:history="1">
        <w:r w:rsidR="006F5EF7" w:rsidRPr="0076417F">
          <w:rPr>
            <w:rStyle w:val="Collegamentoipertestuale"/>
            <w:noProof/>
          </w:rPr>
          <w:t>Obiettivi Strategici per la prevenzione della corruzione</w:t>
        </w:r>
        <w:r w:rsidR="006F5EF7">
          <w:rPr>
            <w:noProof/>
            <w:webHidden/>
          </w:rPr>
          <w:tab/>
        </w:r>
        <w:r>
          <w:rPr>
            <w:noProof/>
            <w:webHidden/>
          </w:rPr>
          <w:fldChar w:fldCharType="begin"/>
        </w:r>
        <w:r w:rsidR="006F5EF7">
          <w:rPr>
            <w:noProof/>
            <w:webHidden/>
          </w:rPr>
          <w:instrText xml:space="preserve"> PAGEREF _Toc101602016 \h </w:instrText>
        </w:r>
        <w:r>
          <w:rPr>
            <w:noProof/>
            <w:webHidden/>
          </w:rPr>
        </w:r>
        <w:r>
          <w:rPr>
            <w:noProof/>
            <w:webHidden/>
          </w:rPr>
          <w:fldChar w:fldCharType="separate"/>
        </w:r>
        <w:r w:rsidR="006F5EF7">
          <w:rPr>
            <w:noProof/>
            <w:webHidden/>
          </w:rPr>
          <w:t>16</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17" w:history="1">
        <w:r w:rsidR="006F5EF7" w:rsidRPr="0076417F">
          <w:rPr>
            <w:rStyle w:val="Collegamentoipertestuale"/>
            <w:noProof/>
          </w:rPr>
          <w:t>Obiettivi Strategici in materia di trasparenza</w:t>
        </w:r>
        <w:r w:rsidR="006F5EF7">
          <w:rPr>
            <w:noProof/>
            <w:webHidden/>
          </w:rPr>
          <w:tab/>
        </w:r>
        <w:r>
          <w:rPr>
            <w:noProof/>
            <w:webHidden/>
          </w:rPr>
          <w:fldChar w:fldCharType="begin"/>
        </w:r>
        <w:r w:rsidR="006F5EF7">
          <w:rPr>
            <w:noProof/>
            <w:webHidden/>
          </w:rPr>
          <w:instrText xml:space="preserve"> PAGEREF _Toc101602017 \h </w:instrText>
        </w:r>
        <w:r>
          <w:rPr>
            <w:noProof/>
            <w:webHidden/>
          </w:rPr>
        </w:r>
        <w:r>
          <w:rPr>
            <w:noProof/>
            <w:webHidden/>
          </w:rPr>
          <w:fldChar w:fldCharType="separate"/>
        </w:r>
        <w:r w:rsidR="006F5EF7">
          <w:rPr>
            <w:noProof/>
            <w:webHidden/>
          </w:rPr>
          <w:t>16</w:t>
        </w:r>
        <w:r>
          <w:rPr>
            <w:noProof/>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2018" w:history="1">
        <w:r w:rsidR="006F5EF7" w:rsidRPr="0076417F">
          <w:rPr>
            <w:rStyle w:val="Collegamentoipertestuale"/>
            <w:rFonts w:cs="Calibri"/>
          </w:rPr>
          <w:t>F. ANALISI DEL CONTESTO ESTERNO</w:t>
        </w:r>
        <w:r w:rsidR="006F5EF7">
          <w:rPr>
            <w:webHidden/>
          </w:rPr>
          <w:tab/>
        </w:r>
        <w:r>
          <w:rPr>
            <w:webHidden/>
          </w:rPr>
          <w:fldChar w:fldCharType="begin"/>
        </w:r>
        <w:r w:rsidR="006F5EF7">
          <w:rPr>
            <w:webHidden/>
          </w:rPr>
          <w:instrText xml:space="preserve"> PAGEREF _Toc101602018 \h </w:instrText>
        </w:r>
        <w:r>
          <w:rPr>
            <w:webHidden/>
          </w:rPr>
        </w:r>
        <w:r>
          <w:rPr>
            <w:webHidden/>
          </w:rPr>
          <w:fldChar w:fldCharType="separate"/>
        </w:r>
        <w:r w:rsidR="006F5EF7">
          <w:rPr>
            <w:webHidden/>
          </w:rPr>
          <w:t>17</w:t>
        </w:r>
        <w:r>
          <w:rPr>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2019" w:history="1">
        <w:r w:rsidR="006F5EF7" w:rsidRPr="0076417F">
          <w:rPr>
            <w:rStyle w:val="Collegamentoipertestuale"/>
            <w:rFonts w:cs="Calibri"/>
          </w:rPr>
          <w:t>G. ANALISI DEL CONTESTO INTERNO</w:t>
        </w:r>
        <w:r w:rsidR="006F5EF7">
          <w:rPr>
            <w:webHidden/>
          </w:rPr>
          <w:tab/>
        </w:r>
        <w:r>
          <w:rPr>
            <w:webHidden/>
          </w:rPr>
          <w:fldChar w:fldCharType="begin"/>
        </w:r>
        <w:r w:rsidR="006F5EF7">
          <w:rPr>
            <w:webHidden/>
          </w:rPr>
          <w:instrText xml:space="preserve"> PAGEREF _Toc101602019 \h </w:instrText>
        </w:r>
        <w:r>
          <w:rPr>
            <w:webHidden/>
          </w:rPr>
        </w:r>
        <w:r>
          <w:rPr>
            <w:webHidden/>
          </w:rPr>
          <w:fldChar w:fldCharType="separate"/>
        </w:r>
        <w:r w:rsidR="006F5EF7">
          <w:rPr>
            <w:webHidden/>
          </w:rPr>
          <w:t>22</w:t>
        </w:r>
        <w:r>
          <w:rPr>
            <w:webHidden/>
          </w:rPr>
          <w:fldChar w:fldCharType="end"/>
        </w:r>
      </w:hyperlink>
    </w:p>
    <w:p w:rsidR="006F5EF7" w:rsidRDefault="00787A42">
      <w:pPr>
        <w:pStyle w:val="Sommario2"/>
        <w:rPr>
          <w:rFonts w:asciiTheme="minorHAnsi" w:eastAsiaTheme="minorEastAsia" w:hAnsiTheme="minorHAnsi" w:cstheme="minorBidi"/>
          <w:b w:val="0"/>
          <w:bCs w:val="0"/>
          <w:sz w:val="22"/>
          <w:szCs w:val="22"/>
        </w:rPr>
      </w:pPr>
      <w:hyperlink w:anchor="_Toc101602020" w:history="1">
        <w:r w:rsidR="006F5EF7" w:rsidRPr="0076417F">
          <w:rPr>
            <w:rStyle w:val="Collegamentoipertestuale"/>
          </w:rPr>
          <w:t>Sottosezione Mappatura dei Processi per aree di rischio "Generali" e "Specifiche"</w:t>
        </w:r>
        <w:r w:rsidR="006F5EF7">
          <w:rPr>
            <w:webHidden/>
          </w:rPr>
          <w:tab/>
        </w:r>
        <w:r>
          <w:rPr>
            <w:webHidden/>
          </w:rPr>
          <w:fldChar w:fldCharType="begin"/>
        </w:r>
        <w:r w:rsidR="006F5EF7">
          <w:rPr>
            <w:webHidden/>
          </w:rPr>
          <w:instrText xml:space="preserve"> PAGEREF _Toc101602020 \h </w:instrText>
        </w:r>
        <w:r>
          <w:rPr>
            <w:webHidden/>
          </w:rPr>
        </w:r>
        <w:r>
          <w:rPr>
            <w:webHidden/>
          </w:rPr>
          <w:fldChar w:fldCharType="separate"/>
        </w:r>
        <w:r w:rsidR="006F5EF7">
          <w:rPr>
            <w:webHidden/>
          </w:rPr>
          <w:t>27</w:t>
        </w:r>
        <w:r>
          <w:rPr>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21" w:history="1">
        <w:r w:rsidR="006F5EF7" w:rsidRPr="0076417F">
          <w:rPr>
            <w:rStyle w:val="Collegamentoipertestuale"/>
            <w:noProof/>
          </w:rPr>
          <w:t>G.4.1.A. Acquisizione e gestione del personale</w:t>
        </w:r>
        <w:r w:rsidR="006F5EF7">
          <w:rPr>
            <w:noProof/>
            <w:webHidden/>
          </w:rPr>
          <w:tab/>
        </w:r>
        <w:r>
          <w:rPr>
            <w:noProof/>
            <w:webHidden/>
          </w:rPr>
          <w:fldChar w:fldCharType="begin"/>
        </w:r>
        <w:r w:rsidR="006F5EF7">
          <w:rPr>
            <w:noProof/>
            <w:webHidden/>
          </w:rPr>
          <w:instrText xml:space="preserve"> PAGEREF _Toc101602021 \h </w:instrText>
        </w:r>
        <w:r>
          <w:rPr>
            <w:noProof/>
            <w:webHidden/>
          </w:rPr>
        </w:r>
        <w:r>
          <w:rPr>
            <w:noProof/>
            <w:webHidden/>
          </w:rPr>
          <w:fldChar w:fldCharType="separate"/>
        </w:r>
        <w:r w:rsidR="006F5EF7">
          <w:rPr>
            <w:noProof/>
            <w:webHidden/>
          </w:rPr>
          <w:t>28</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22" w:history="1">
        <w:r w:rsidR="006F5EF7" w:rsidRPr="0076417F">
          <w:rPr>
            <w:rStyle w:val="Collegamentoipertestuale"/>
            <w:noProof/>
          </w:rPr>
          <w:t>G.4.1.B. Provvedimenti ampliativi della sfera giuridica senza effetto economico diretto ed immediato (es. autorizzazioni e concessioni, etc.)</w:t>
        </w:r>
        <w:r w:rsidR="006F5EF7">
          <w:rPr>
            <w:noProof/>
            <w:webHidden/>
          </w:rPr>
          <w:tab/>
        </w:r>
        <w:r>
          <w:rPr>
            <w:noProof/>
            <w:webHidden/>
          </w:rPr>
          <w:fldChar w:fldCharType="begin"/>
        </w:r>
        <w:r w:rsidR="006F5EF7">
          <w:rPr>
            <w:noProof/>
            <w:webHidden/>
          </w:rPr>
          <w:instrText xml:space="preserve"> PAGEREF _Toc101602022 \h </w:instrText>
        </w:r>
        <w:r>
          <w:rPr>
            <w:noProof/>
            <w:webHidden/>
          </w:rPr>
        </w:r>
        <w:r>
          <w:rPr>
            <w:noProof/>
            <w:webHidden/>
          </w:rPr>
          <w:fldChar w:fldCharType="separate"/>
        </w:r>
        <w:r w:rsidR="006F5EF7">
          <w:rPr>
            <w:noProof/>
            <w:webHidden/>
          </w:rPr>
          <w:t>29</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23" w:history="1">
        <w:r w:rsidR="006F5EF7" w:rsidRPr="0076417F">
          <w:rPr>
            <w:rStyle w:val="Collegamentoipertestuale"/>
            <w:noProof/>
          </w:rPr>
          <w:t>G.4.1.C. Provvedimenti ampliativi della sfera giuridica con effetto economico diretto ed immediato (es. erogazione contributi, etc.)</w:t>
        </w:r>
        <w:r w:rsidR="006F5EF7">
          <w:rPr>
            <w:noProof/>
            <w:webHidden/>
          </w:rPr>
          <w:tab/>
        </w:r>
        <w:r>
          <w:rPr>
            <w:noProof/>
            <w:webHidden/>
          </w:rPr>
          <w:fldChar w:fldCharType="begin"/>
        </w:r>
        <w:r w:rsidR="006F5EF7">
          <w:rPr>
            <w:noProof/>
            <w:webHidden/>
          </w:rPr>
          <w:instrText xml:space="preserve"> PAGEREF _Toc101602023 \h </w:instrText>
        </w:r>
        <w:r>
          <w:rPr>
            <w:noProof/>
            <w:webHidden/>
          </w:rPr>
        </w:r>
        <w:r>
          <w:rPr>
            <w:noProof/>
            <w:webHidden/>
          </w:rPr>
          <w:fldChar w:fldCharType="separate"/>
        </w:r>
        <w:r w:rsidR="006F5EF7">
          <w:rPr>
            <w:noProof/>
            <w:webHidden/>
          </w:rPr>
          <w:t>30</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24" w:history="1">
        <w:r w:rsidR="006F5EF7" w:rsidRPr="0076417F">
          <w:rPr>
            <w:rStyle w:val="Collegamentoipertestuale"/>
            <w:noProof/>
          </w:rPr>
          <w:t>G.4.1.E. Incarichi e nomine</w:t>
        </w:r>
        <w:r w:rsidR="006F5EF7">
          <w:rPr>
            <w:noProof/>
            <w:webHidden/>
          </w:rPr>
          <w:tab/>
        </w:r>
        <w:r>
          <w:rPr>
            <w:noProof/>
            <w:webHidden/>
          </w:rPr>
          <w:fldChar w:fldCharType="begin"/>
        </w:r>
        <w:r w:rsidR="006F5EF7">
          <w:rPr>
            <w:noProof/>
            <w:webHidden/>
          </w:rPr>
          <w:instrText xml:space="preserve"> PAGEREF _Toc101602024 \h </w:instrText>
        </w:r>
        <w:r>
          <w:rPr>
            <w:noProof/>
            <w:webHidden/>
          </w:rPr>
        </w:r>
        <w:r>
          <w:rPr>
            <w:noProof/>
            <w:webHidden/>
          </w:rPr>
          <w:fldChar w:fldCharType="separate"/>
        </w:r>
        <w:r w:rsidR="006F5EF7">
          <w:rPr>
            <w:noProof/>
            <w:webHidden/>
          </w:rPr>
          <w:t>31</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25" w:history="1">
        <w:r w:rsidR="006F5EF7" w:rsidRPr="0076417F">
          <w:rPr>
            <w:rStyle w:val="Collegamentoipertestuale"/>
            <w:noProof/>
          </w:rPr>
          <w:t>G.4.1.F. Gestione delle entrate, delle spese e del patrimonio</w:t>
        </w:r>
        <w:r w:rsidR="006F5EF7">
          <w:rPr>
            <w:noProof/>
            <w:webHidden/>
          </w:rPr>
          <w:tab/>
        </w:r>
        <w:r>
          <w:rPr>
            <w:noProof/>
            <w:webHidden/>
          </w:rPr>
          <w:fldChar w:fldCharType="begin"/>
        </w:r>
        <w:r w:rsidR="006F5EF7">
          <w:rPr>
            <w:noProof/>
            <w:webHidden/>
          </w:rPr>
          <w:instrText xml:space="preserve"> PAGEREF _Toc101602025 \h </w:instrText>
        </w:r>
        <w:r>
          <w:rPr>
            <w:noProof/>
            <w:webHidden/>
          </w:rPr>
        </w:r>
        <w:r>
          <w:rPr>
            <w:noProof/>
            <w:webHidden/>
          </w:rPr>
          <w:fldChar w:fldCharType="separate"/>
        </w:r>
        <w:r w:rsidR="006F5EF7">
          <w:rPr>
            <w:noProof/>
            <w:webHidden/>
          </w:rPr>
          <w:t>32</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26" w:history="1">
        <w:r w:rsidR="006F5EF7" w:rsidRPr="0076417F">
          <w:rPr>
            <w:rStyle w:val="Collegamentoipertestuale"/>
            <w:noProof/>
          </w:rPr>
          <w:t>G.4.1.G. Controlli, verifiche, ispezioni e sanzioni</w:t>
        </w:r>
        <w:r w:rsidR="006F5EF7">
          <w:rPr>
            <w:noProof/>
            <w:webHidden/>
          </w:rPr>
          <w:tab/>
        </w:r>
        <w:r>
          <w:rPr>
            <w:noProof/>
            <w:webHidden/>
          </w:rPr>
          <w:fldChar w:fldCharType="begin"/>
        </w:r>
        <w:r w:rsidR="006F5EF7">
          <w:rPr>
            <w:noProof/>
            <w:webHidden/>
          </w:rPr>
          <w:instrText xml:space="preserve"> PAGEREF _Toc101602026 \h </w:instrText>
        </w:r>
        <w:r>
          <w:rPr>
            <w:noProof/>
            <w:webHidden/>
          </w:rPr>
        </w:r>
        <w:r>
          <w:rPr>
            <w:noProof/>
            <w:webHidden/>
          </w:rPr>
          <w:fldChar w:fldCharType="separate"/>
        </w:r>
        <w:r w:rsidR="006F5EF7">
          <w:rPr>
            <w:noProof/>
            <w:webHidden/>
          </w:rPr>
          <w:t>33</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27" w:history="1">
        <w:r w:rsidR="006F5EF7" w:rsidRPr="0076417F">
          <w:rPr>
            <w:rStyle w:val="Collegamentoipertestuale"/>
            <w:noProof/>
          </w:rPr>
          <w:t>G.4.1.H. Affari legali e contenzioso</w:t>
        </w:r>
        <w:r w:rsidR="006F5EF7">
          <w:rPr>
            <w:noProof/>
            <w:webHidden/>
          </w:rPr>
          <w:tab/>
        </w:r>
        <w:r>
          <w:rPr>
            <w:noProof/>
            <w:webHidden/>
          </w:rPr>
          <w:fldChar w:fldCharType="begin"/>
        </w:r>
        <w:r w:rsidR="006F5EF7">
          <w:rPr>
            <w:noProof/>
            <w:webHidden/>
          </w:rPr>
          <w:instrText xml:space="preserve"> PAGEREF _Toc101602027 \h </w:instrText>
        </w:r>
        <w:r>
          <w:rPr>
            <w:noProof/>
            <w:webHidden/>
          </w:rPr>
        </w:r>
        <w:r>
          <w:rPr>
            <w:noProof/>
            <w:webHidden/>
          </w:rPr>
          <w:fldChar w:fldCharType="separate"/>
        </w:r>
        <w:r w:rsidR="006F5EF7">
          <w:rPr>
            <w:noProof/>
            <w:webHidden/>
          </w:rPr>
          <w:t>33</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28" w:history="1">
        <w:r w:rsidR="006F5EF7" w:rsidRPr="0076417F">
          <w:rPr>
            <w:rStyle w:val="Collegamentoipertestuale"/>
            <w:noProof/>
          </w:rPr>
          <w:t>G.4.1.I. Altre Aree di rischio (generali e specifiche)</w:t>
        </w:r>
        <w:r w:rsidR="006F5EF7">
          <w:rPr>
            <w:noProof/>
            <w:webHidden/>
          </w:rPr>
          <w:tab/>
        </w:r>
        <w:r>
          <w:rPr>
            <w:noProof/>
            <w:webHidden/>
          </w:rPr>
          <w:fldChar w:fldCharType="begin"/>
        </w:r>
        <w:r w:rsidR="006F5EF7">
          <w:rPr>
            <w:noProof/>
            <w:webHidden/>
          </w:rPr>
          <w:instrText xml:space="preserve"> PAGEREF _Toc101602028 \h </w:instrText>
        </w:r>
        <w:r>
          <w:rPr>
            <w:noProof/>
            <w:webHidden/>
          </w:rPr>
        </w:r>
        <w:r>
          <w:rPr>
            <w:noProof/>
            <w:webHidden/>
          </w:rPr>
          <w:fldChar w:fldCharType="separate"/>
        </w:r>
        <w:r w:rsidR="006F5EF7">
          <w:rPr>
            <w:noProof/>
            <w:webHidden/>
          </w:rPr>
          <w:t>34</w:t>
        </w:r>
        <w:r>
          <w:rPr>
            <w:noProof/>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2029" w:history="1">
        <w:r w:rsidR="006F5EF7" w:rsidRPr="0076417F">
          <w:rPr>
            <w:rStyle w:val="Collegamentoipertestuale"/>
            <w:rFonts w:cs="Calibri"/>
          </w:rPr>
          <w:t>H. VALUTAZIONE DEL RISCHIO</w:t>
        </w:r>
        <w:r w:rsidR="006F5EF7">
          <w:rPr>
            <w:webHidden/>
          </w:rPr>
          <w:tab/>
        </w:r>
        <w:r>
          <w:rPr>
            <w:webHidden/>
          </w:rPr>
          <w:fldChar w:fldCharType="begin"/>
        </w:r>
        <w:r w:rsidR="006F5EF7">
          <w:rPr>
            <w:webHidden/>
          </w:rPr>
          <w:instrText xml:space="preserve"> PAGEREF _Toc101602029 \h </w:instrText>
        </w:r>
        <w:r>
          <w:rPr>
            <w:webHidden/>
          </w:rPr>
        </w:r>
        <w:r>
          <w:rPr>
            <w:webHidden/>
          </w:rPr>
          <w:fldChar w:fldCharType="separate"/>
        </w:r>
        <w:r w:rsidR="006F5EF7">
          <w:rPr>
            <w:webHidden/>
          </w:rPr>
          <w:t>35</w:t>
        </w:r>
        <w:r>
          <w:rPr>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30" w:history="1">
        <w:r w:rsidR="006F5EF7" w:rsidRPr="0076417F">
          <w:rPr>
            <w:rStyle w:val="Collegamentoipertestuale"/>
            <w:noProof/>
          </w:rPr>
          <w:t>Analisi e gestione del rischio</w:t>
        </w:r>
        <w:r w:rsidR="006F5EF7">
          <w:rPr>
            <w:noProof/>
            <w:webHidden/>
          </w:rPr>
          <w:tab/>
        </w:r>
        <w:r>
          <w:rPr>
            <w:noProof/>
            <w:webHidden/>
          </w:rPr>
          <w:fldChar w:fldCharType="begin"/>
        </w:r>
        <w:r w:rsidR="006F5EF7">
          <w:rPr>
            <w:noProof/>
            <w:webHidden/>
          </w:rPr>
          <w:instrText xml:space="preserve"> PAGEREF _Toc101602030 \h </w:instrText>
        </w:r>
        <w:r>
          <w:rPr>
            <w:noProof/>
            <w:webHidden/>
          </w:rPr>
        </w:r>
        <w:r>
          <w:rPr>
            <w:noProof/>
            <w:webHidden/>
          </w:rPr>
          <w:fldChar w:fldCharType="separate"/>
        </w:r>
        <w:r w:rsidR="006F5EF7">
          <w:rPr>
            <w:noProof/>
            <w:webHidden/>
          </w:rPr>
          <w:t>35</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31" w:history="1">
        <w:r w:rsidR="006F5EF7" w:rsidRPr="0076417F">
          <w:rPr>
            <w:rStyle w:val="Collegamentoipertestuale"/>
            <w:noProof/>
          </w:rPr>
          <w:t>Individuazione dei fattori abilitanti</w:t>
        </w:r>
        <w:r w:rsidR="006F5EF7">
          <w:rPr>
            <w:noProof/>
            <w:webHidden/>
          </w:rPr>
          <w:tab/>
        </w:r>
        <w:r>
          <w:rPr>
            <w:noProof/>
            <w:webHidden/>
          </w:rPr>
          <w:fldChar w:fldCharType="begin"/>
        </w:r>
        <w:r w:rsidR="006F5EF7">
          <w:rPr>
            <w:noProof/>
            <w:webHidden/>
          </w:rPr>
          <w:instrText xml:space="preserve"> PAGEREF _Toc101602031 \h </w:instrText>
        </w:r>
        <w:r>
          <w:rPr>
            <w:noProof/>
            <w:webHidden/>
          </w:rPr>
        </w:r>
        <w:r>
          <w:rPr>
            <w:noProof/>
            <w:webHidden/>
          </w:rPr>
          <w:fldChar w:fldCharType="separate"/>
        </w:r>
        <w:r w:rsidR="006F5EF7">
          <w:rPr>
            <w:noProof/>
            <w:webHidden/>
          </w:rPr>
          <w:t>35</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32" w:history="1">
        <w:r w:rsidR="006F5EF7" w:rsidRPr="0076417F">
          <w:rPr>
            <w:rStyle w:val="Collegamentoipertestuale"/>
            <w:noProof/>
          </w:rPr>
          <w:t>Valutazione del rischio</w:t>
        </w:r>
        <w:r w:rsidR="006F5EF7">
          <w:rPr>
            <w:noProof/>
            <w:webHidden/>
          </w:rPr>
          <w:tab/>
        </w:r>
        <w:r>
          <w:rPr>
            <w:noProof/>
            <w:webHidden/>
          </w:rPr>
          <w:fldChar w:fldCharType="begin"/>
        </w:r>
        <w:r w:rsidR="006F5EF7">
          <w:rPr>
            <w:noProof/>
            <w:webHidden/>
          </w:rPr>
          <w:instrText xml:space="preserve"> PAGEREF _Toc101602032 \h </w:instrText>
        </w:r>
        <w:r>
          <w:rPr>
            <w:noProof/>
            <w:webHidden/>
          </w:rPr>
        </w:r>
        <w:r>
          <w:rPr>
            <w:noProof/>
            <w:webHidden/>
          </w:rPr>
          <w:fldChar w:fldCharType="separate"/>
        </w:r>
        <w:r w:rsidR="006F5EF7">
          <w:rPr>
            <w:noProof/>
            <w:webHidden/>
          </w:rPr>
          <w:t>36</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33" w:history="1">
        <w:r w:rsidR="006F5EF7" w:rsidRPr="0076417F">
          <w:rPr>
            <w:rStyle w:val="Collegamentoipertestuale"/>
            <w:noProof/>
          </w:rPr>
          <w:t>Gestione del rischio</w:t>
        </w:r>
        <w:r w:rsidR="006F5EF7">
          <w:rPr>
            <w:noProof/>
            <w:webHidden/>
          </w:rPr>
          <w:tab/>
        </w:r>
        <w:r>
          <w:rPr>
            <w:noProof/>
            <w:webHidden/>
          </w:rPr>
          <w:fldChar w:fldCharType="begin"/>
        </w:r>
        <w:r w:rsidR="006F5EF7">
          <w:rPr>
            <w:noProof/>
            <w:webHidden/>
          </w:rPr>
          <w:instrText xml:space="preserve"> PAGEREF _Toc101602033 \h </w:instrText>
        </w:r>
        <w:r>
          <w:rPr>
            <w:noProof/>
            <w:webHidden/>
          </w:rPr>
        </w:r>
        <w:r>
          <w:rPr>
            <w:noProof/>
            <w:webHidden/>
          </w:rPr>
          <w:fldChar w:fldCharType="separate"/>
        </w:r>
        <w:r w:rsidR="006F5EF7">
          <w:rPr>
            <w:noProof/>
            <w:webHidden/>
          </w:rPr>
          <w:t>36</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34" w:history="1">
        <w:r w:rsidR="006F5EF7" w:rsidRPr="0076417F">
          <w:rPr>
            <w:rStyle w:val="Collegamentoipertestuale"/>
            <w:noProof/>
          </w:rPr>
          <w:t>Monitoraggio successivo della gestione del rischio nei processi</w:t>
        </w:r>
        <w:r w:rsidR="006F5EF7">
          <w:rPr>
            <w:noProof/>
            <w:webHidden/>
          </w:rPr>
          <w:tab/>
        </w:r>
        <w:r>
          <w:rPr>
            <w:noProof/>
            <w:webHidden/>
          </w:rPr>
          <w:fldChar w:fldCharType="begin"/>
        </w:r>
        <w:r w:rsidR="006F5EF7">
          <w:rPr>
            <w:noProof/>
            <w:webHidden/>
          </w:rPr>
          <w:instrText xml:space="preserve"> PAGEREF _Toc101602034 \h </w:instrText>
        </w:r>
        <w:r>
          <w:rPr>
            <w:noProof/>
            <w:webHidden/>
          </w:rPr>
        </w:r>
        <w:r>
          <w:rPr>
            <w:noProof/>
            <w:webHidden/>
          </w:rPr>
          <w:fldChar w:fldCharType="separate"/>
        </w:r>
        <w:r w:rsidR="006F5EF7">
          <w:rPr>
            <w:noProof/>
            <w:webHidden/>
          </w:rPr>
          <w:t>37</w:t>
        </w:r>
        <w:r>
          <w:rPr>
            <w:noProof/>
            <w:webHidden/>
          </w:rPr>
          <w:fldChar w:fldCharType="end"/>
        </w:r>
      </w:hyperlink>
    </w:p>
    <w:p w:rsidR="006F5EF7" w:rsidRDefault="00787A42">
      <w:pPr>
        <w:pStyle w:val="Sommario1"/>
        <w:rPr>
          <w:rFonts w:asciiTheme="minorHAnsi" w:eastAsiaTheme="minorEastAsia" w:hAnsiTheme="minorHAnsi" w:cstheme="minorBidi"/>
          <w:b w:val="0"/>
          <w:bCs w:val="0"/>
          <w:caps w:val="0"/>
          <w:sz w:val="22"/>
          <w:szCs w:val="22"/>
        </w:rPr>
      </w:pPr>
      <w:hyperlink w:anchor="_Toc101602035" w:history="1">
        <w:r w:rsidR="006F5EF7" w:rsidRPr="0076417F">
          <w:rPr>
            <w:rStyle w:val="Collegamentoipertestuale"/>
          </w:rPr>
          <w:t>I. TRATTAMENTO DEL RISCHIO: PREVISIONE DELLE MISURE GENERALI</w:t>
        </w:r>
        <w:r w:rsidR="006F5EF7">
          <w:rPr>
            <w:webHidden/>
          </w:rPr>
          <w:tab/>
        </w:r>
        <w:r>
          <w:rPr>
            <w:webHidden/>
          </w:rPr>
          <w:fldChar w:fldCharType="begin"/>
        </w:r>
        <w:r w:rsidR="006F5EF7">
          <w:rPr>
            <w:webHidden/>
          </w:rPr>
          <w:instrText xml:space="preserve"> PAGEREF _Toc101602035 \h </w:instrText>
        </w:r>
        <w:r>
          <w:rPr>
            <w:webHidden/>
          </w:rPr>
        </w:r>
        <w:r>
          <w:rPr>
            <w:webHidden/>
          </w:rPr>
          <w:fldChar w:fldCharType="separate"/>
        </w:r>
        <w:r w:rsidR="006F5EF7">
          <w:rPr>
            <w:webHidden/>
          </w:rPr>
          <w:t>38</w:t>
        </w:r>
        <w:r>
          <w:rPr>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36" w:history="1">
        <w:r w:rsidR="006F5EF7" w:rsidRPr="0076417F">
          <w:rPr>
            <w:rStyle w:val="Collegamentoipertestuale"/>
            <w:noProof/>
          </w:rPr>
          <w:t>A. Codice di comportamento</w:t>
        </w:r>
        <w:r w:rsidR="006F5EF7">
          <w:rPr>
            <w:noProof/>
            <w:webHidden/>
          </w:rPr>
          <w:tab/>
        </w:r>
        <w:r>
          <w:rPr>
            <w:noProof/>
            <w:webHidden/>
          </w:rPr>
          <w:fldChar w:fldCharType="begin"/>
        </w:r>
        <w:r w:rsidR="006F5EF7">
          <w:rPr>
            <w:noProof/>
            <w:webHidden/>
          </w:rPr>
          <w:instrText xml:space="preserve"> PAGEREF _Toc101602036 \h </w:instrText>
        </w:r>
        <w:r>
          <w:rPr>
            <w:noProof/>
            <w:webHidden/>
          </w:rPr>
        </w:r>
        <w:r>
          <w:rPr>
            <w:noProof/>
            <w:webHidden/>
          </w:rPr>
          <w:fldChar w:fldCharType="separate"/>
        </w:r>
        <w:r w:rsidR="006F5EF7">
          <w:rPr>
            <w:noProof/>
            <w:webHidden/>
          </w:rPr>
          <w:t>38</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37" w:history="1">
        <w:r w:rsidR="006F5EF7" w:rsidRPr="0076417F">
          <w:rPr>
            <w:rStyle w:val="Collegamentoipertestuale"/>
            <w:noProof/>
          </w:rPr>
          <w:t>B. Rotazione del personale o misure alternative</w:t>
        </w:r>
        <w:r w:rsidR="006F5EF7">
          <w:rPr>
            <w:noProof/>
            <w:webHidden/>
          </w:rPr>
          <w:tab/>
        </w:r>
        <w:r>
          <w:rPr>
            <w:noProof/>
            <w:webHidden/>
          </w:rPr>
          <w:fldChar w:fldCharType="begin"/>
        </w:r>
        <w:r w:rsidR="006F5EF7">
          <w:rPr>
            <w:noProof/>
            <w:webHidden/>
          </w:rPr>
          <w:instrText xml:space="preserve"> PAGEREF _Toc101602037 \h </w:instrText>
        </w:r>
        <w:r>
          <w:rPr>
            <w:noProof/>
            <w:webHidden/>
          </w:rPr>
        </w:r>
        <w:r>
          <w:rPr>
            <w:noProof/>
            <w:webHidden/>
          </w:rPr>
          <w:fldChar w:fldCharType="separate"/>
        </w:r>
        <w:r w:rsidR="006F5EF7">
          <w:rPr>
            <w:noProof/>
            <w:webHidden/>
          </w:rPr>
          <w:t>39</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38" w:history="1">
        <w:r w:rsidR="006F5EF7" w:rsidRPr="0076417F">
          <w:rPr>
            <w:rStyle w:val="Collegamentoipertestuale"/>
            <w:noProof/>
          </w:rPr>
          <w:t>C. Inconferibilità - incompatibilità - incarichi extraistituzionali</w:t>
        </w:r>
        <w:r w:rsidR="006F5EF7">
          <w:rPr>
            <w:noProof/>
            <w:webHidden/>
          </w:rPr>
          <w:tab/>
        </w:r>
        <w:r>
          <w:rPr>
            <w:noProof/>
            <w:webHidden/>
          </w:rPr>
          <w:fldChar w:fldCharType="begin"/>
        </w:r>
        <w:r w:rsidR="006F5EF7">
          <w:rPr>
            <w:noProof/>
            <w:webHidden/>
          </w:rPr>
          <w:instrText xml:space="preserve"> PAGEREF _Toc101602038 \h </w:instrText>
        </w:r>
        <w:r>
          <w:rPr>
            <w:noProof/>
            <w:webHidden/>
          </w:rPr>
        </w:r>
        <w:r>
          <w:rPr>
            <w:noProof/>
            <w:webHidden/>
          </w:rPr>
          <w:fldChar w:fldCharType="separate"/>
        </w:r>
        <w:r w:rsidR="006F5EF7">
          <w:rPr>
            <w:noProof/>
            <w:webHidden/>
          </w:rPr>
          <w:t>40</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39" w:history="1">
        <w:r w:rsidR="006F5EF7" w:rsidRPr="0076417F">
          <w:rPr>
            <w:rStyle w:val="Collegamentoipertestuale"/>
            <w:noProof/>
          </w:rPr>
          <w:t>D. Whistleblowing</w:t>
        </w:r>
        <w:r w:rsidR="006F5EF7">
          <w:rPr>
            <w:noProof/>
            <w:webHidden/>
          </w:rPr>
          <w:tab/>
        </w:r>
        <w:r>
          <w:rPr>
            <w:noProof/>
            <w:webHidden/>
          </w:rPr>
          <w:fldChar w:fldCharType="begin"/>
        </w:r>
        <w:r w:rsidR="006F5EF7">
          <w:rPr>
            <w:noProof/>
            <w:webHidden/>
          </w:rPr>
          <w:instrText xml:space="preserve"> PAGEREF _Toc101602039 \h </w:instrText>
        </w:r>
        <w:r>
          <w:rPr>
            <w:noProof/>
            <w:webHidden/>
          </w:rPr>
        </w:r>
        <w:r>
          <w:rPr>
            <w:noProof/>
            <w:webHidden/>
          </w:rPr>
          <w:fldChar w:fldCharType="separate"/>
        </w:r>
        <w:r w:rsidR="006F5EF7">
          <w:rPr>
            <w:noProof/>
            <w:webHidden/>
          </w:rPr>
          <w:t>43</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40" w:history="1">
        <w:r w:rsidR="006F5EF7" w:rsidRPr="0076417F">
          <w:rPr>
            <w:rStyle w:val="Collegamentoipertestuale"/>
            <w:noProof/>
          </w:rPr>
          <w:t>E. Formazione</w:t>
        </w:r>
        <w:r w:rsidR="006F5EF7">
          <w:rPr>
            <w:noProof/>
            <w:webHidden/>
          </w:rPr>
          <w:tab/>
        </w:r>
        <w:r>
          <w:rPr>
            <w:noProof/>
            <w:webHidden/>
          </w:rPr>
          <w:fldChar w:fldCharType="begin"/>
        </w:r>
        <w:r w:rsidR="006F5EF7">
          <w:rPr>
            <w:noProof/>
            <w:webHidden/>
          </w:rPr>
          <w:instrText xml:space="preserve"> PAGEREF _Toc101602040 \h </w:instrText>
        </w:r>
        <w:r>
          <w:rPr>
            <w:noProof/>
            <w:webHidden/>
          </w:rPr>
        </w:r>
        <w:r>
          <w:rPr>
            <w:noProof/>
            <w:webHidden/>
          </w:rPr>
          <w:fldChar w:fldCharType="separate"/>
        </w:r>
        <w:r w:rsidR="006F5EF7">
          <w:rPr>
            <w:noProof/>
            <w:webHidden/>
          </w:rPr>
          <w:t>44</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41" w:history="1">
        <w:r w:rsidR="006F5EF7" w:rsidRPr="0076417F">
          <w:rPr>
            <w:rStyle w:val="Collegamentoipertestuale"/>
            <w:noProof/>
          </w:rPr>
          <w:t>F. Trasparenza</w:t>
        </w:r>
        <w:r w:rsidR="006F5EF7">
          <w:rPr>
            <w:noProof/>
            <w:webHidden/>
          </w:rPr>
          <w:tab/>
        </w:r>
        <w:r>
          <w:rPr>
            <w:noProof/>
            <w:webHidden/>
          </w:rPr>
          <w:fldChar w:fldCharType="begin"/>
        </w:r>
        <w:r w:rsidR="006F5EF7">
          <w:rPr>
            <w:noProof/>
            <w:webHidden/>
          </w:rPr>
          <w:instrText xml:space="preserve"> PAGEREF _Toc101602041 \h </w:instrText>
        </w:r>
        <w:r>
          <w:rPr>
            <w:noProof/>
            <w:webHidden/>
          </w:rPr>
        </w:r>
        <w:r>
          <w:rPr>
            <w:noProof/>
            <w:webHidden/>
          </w:rPr>
          <w:fldChar w:fldCharType="separate"/>
        </w:r>
        <w:r w:rsidR="006F5EF7">
          <w:rPr>
            <w:noProof/>
            <w:webHidden/>
          </w:rPr>
          <w:t>45</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42" w:history="1">
        <w:r w:rsidR="006F5EF7" w:rsidRPr="0076417F">
          <w:rPr>
            <w:rStyle w:val="Collegamentoipertestuale"/>
            <w:noProof/>
          </w:rPr>
          <w:t>G. Svolgimento attività successiva cessazione lavoro</w:t>
        </w:r>
        <w:r w:rsidR="006F5EF7">
          <w:rPr>
            <w:noProof/>
            <w:webHidden/>
          </w:rPr>
          <w:tab/>
        </w:r>
        <w:r>
          <w:rPr>
            <w:noProof/>
            <w:webHidden/>
          </w:rPr>
          <w:fldChar w:fldCharType="begin"/>
        </w:r>
        <w:r w:rsidR="006F5EF7">
          <w:rPr>
            <w:noProof/>
            <w:webHidden/>
          </w:rPr>
          <w:instrText xml:space="preserve"> PAGEREF _Toc101602042 \h </w:instrText>
        </w:r>
        <w:r>
          <w:rPr>
            <w:noProof/>
            <w:webHidden/>
          </w:rPr>
        </w:r>
        <w:r>
          <w:rPr>
            <w:noProof/>
            <w:webHidden/>
          </w:rPr>
          <w:fldChar w:fldCharType="separate"/>
        </w:r>
        <w:r w:rsidR="006F5EF7">
          <w:rPr>
            <w:noProof/>
            <w:webHidden/>
          </w:rPr>
          <w:t>47</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43" w:history="1">
        <w:r w:rsidR="006F5EF7" w:rsidRPr="0076417F">
          <w:rPr>
            <w:rStyle w:val="Collegamentoipertestuale"/>
            <w:noProof/>
          </w:rPr>
          <w:t>H. Commissioni e conferimento incarichi in caso di condanna</w:t>
        </w:r>
        <w:r w:rsidR="006F5EF7">
          <w:rPr>
            <w:noProof/>
            <w:webHidden/>
          </w:rPr>
          <w:tab/>
        </w:r>
        <w:r>
          <w:rPr>
            <w:noProof/>
            <w:webHidden/>
          </w:rPr>
          <w:fldChar w:fldCharType="begin"/>
        </w:r>
        <w:r w:rsidR="006F5EF7">
          <w:rPr>
            <w:noProof/>
            <w:webHidden/>
          </w:rPr>
          <w:instrText xml:space="preserve"> PAGEREF _Toc101602043 \h </w:instrText>
        </w:r>
        <w:r>
          <w:rPr>
            <w:noProof/>
            <w:webHidden/>
          </w:rPr>
        </w:r>
        <w:r>
          <w:rPr>
            <w:noProof/>
            <w:webHidden/>
          </w:rPr>
          <w:fldChar w:fldCharType="separate"/>
        </w:r>
        <w:r w:rsidR="006F5EF7">
          <w:rPr>
            <w:noProof/>
            <w:webHidden/>
          </w:rPr>
          <w:t>48</w:t>
        </w:r>
        <w:r>
          <w:rPr>
            <w:noProof/>
            <w:webHidden/>
          </w:rPr>
          <w:fldChar w:fldCharType="end"/>
        </w:r>
      </w:hyperlink>
    </w:p>
    <w:p w:rsidR="006F5EF7" w:rsidRDefault="00787A42">
      <w:pPr>
        <w:pStyle w:val="Sommario3"/>
        <w:rPr>
          <w:rFonts w:asciiTheme="minorHAnsi" w:eastAsiaTheme="minorEastAsia" w:hAnsiTheme="minorHAnsi" w:cstheme="minorBidi"/>
          <w:noProof/>
          <w:sz w:val="22"/>
          <w:szCs w:val="22"/>
        </w:rPr>
      </w:pPr>
      <w:hyperlink w:anchor="_Toc101602044" w:history="1">
        <w:r w:rsidR="006F5EF7" w:rsidRPr="0076417F">
          <w:rPr>
            <w:rStyle w:val="Collegamentoipertestuale"/>
            <w:noProof/>
          </w:rPr>
          <w:t>I. Patti di integrità</w:t>
        </w:r>
        <w:r w:rsidR="006F5EF7">
          <w:rPr>
            <w:noProof/>
            <w:webHidden/>
          </w:rPr>
          <w:tab/>
        </w:r>
        <w:r>
          <w:rPr>
            <w:noProof/>
            <w:webHidden/>
          </w:rPr>
          <w:fldChar w:fldCharType="begin"/>
        </w:r>
        <w:r w:rsidR="006F5EF7">
          <w:rPr>
            <w:noProof/>
            <w:webHidden/>
          </w:rPr>
          <w:instrText xml:space="preserve"> PAGEREF _Toc101602044 \h </w:instrText>
        </w:r>
        <w:r>
          <w:rPr>
            <w:noProof/>
            <w:webHidden/>
          </w:rPr>
        </w:r>
        <w:r>
          <w:rPr>
            <w:noProof/>
            <w:webHidden/>
          </w:rPr>
          <w:fldChar w:fldCharType="separate"/>
        </w:r>
        <w:r w:rsidR="006F5EF7">
          <w:rPr>
            <w:noProof/>
            <w:webHidden/>
          </w:rPr>
          <w:t>49</w:t>
        </w:r>
        <w:r>
          <w:rPr>
            <w:noProof/>
            <w:webHidden/>
          </w:rPr>
          <w:fldChar w:fldCharType="end"/>
        </w:r>
      </w:hyperlink>
    </w:p>
    <w:p w:rsidR="006F5EF7" w:rsidRDefault="00787A42">
      <w:pPr>
        <w:pStyle w:val="Sommario2"/>
        <w:rPr>
          <w:rFonts w:asciiTheme="minorHAnsi" w:eastAsiaTheme="minorEastAsia" w:hAnsiTheme="minorHAnsi" w:cstheme="minorBidi"/>
          <w:b w:val="0"/>
          <w:bCs w:val="0"/>
          <w:sz w:val="22"/>
          <w:szCs w:val="22"/>
        </w:rPr>
      </w:pPr>
      <w:hyperlink w:anchor="_Toc101602045" w:history="1">
        <w:r w:rsidR="006F5EF7" w:rsidRPr="0076417F">
          <w:rPr>
            <w:rStyle w:val="Collegamentoipertestuale"/>
            <w:rFonts w:cs="Calibri"/>
          </w:rPr>
          <w:t>L. TRATTAMENTO DEL RISCHIO: PREVISIONE DELLE MISURE SPECIFICHE</w:t>
        </w:r>
        <w:r w:rsidR="006F5EF7">
          <w:rPr>
            <w:webHidden/>
          </w:rPr>
          <w:tab/>
        </w:r>
        <w:r>
          <w:rPr>
            <w:webHidden/>
          </w:rPr>
          <w:fldChar w:fldCharType="begin"/>
        </w:r>
        <w:r w:rsidR="006F5EF7">
          <w:rPr>
            <w:webHidden/>
          </w:rPr>
          <w:instrText xml:space="preserve"> PAGEREF _Toc101602045 \h </w:instrText>
        </w:r>
        <w:r>
          <w:rPr>
            <w:webHidden/>
          </w:rPr>
        </w:r>
        <w:r>
          <w:rPr>
            <w:webHidden/>
          </w:rPr>
          <w:fldChar w:fldCharType="separate"/>
        </w:r>
        <w:r w:rsidR="006F5EF7">
          <w:rPr>
            <w:webHidden/>
          </w:rPr>
          <w:t>50</w:t>
        </w:r>
        <w:r>
          <w:rPr>
            <w:webHidden/>
          </w:rPr>
          <w:fldChar w:fldCharType="end"/>
        </w:r>
      </w:hyperlink>
    </w:p>
    <w:p w:rsidR="006F5EF7" w:rsidRDefault="00787A42">
      <w:pPr>
        <w:pStyle w:val="Sommario2"/>
        <w:rPr>
          <w:rFonts w:asciiTheme="minorHAnsi" w:eastAsiaTheme="minorEastAsia" w:hAnsiTheme="minorHAnsi" w:cstheme="minorBidi"/>
          <w:b w:val="0"/>
          <w:bCs w:val="0"/>
          <w:sz w:val="22"/>
          <w:szCs w:val="22"/>
        </w:rPr>
      </w:pPr>
      <w:hyperlink w:anchor="_Toc101602046" w:history="1">
        <w:r w:rsidR="006F5EF7" w:rsidRPr="0076417F">
          <w:rPr>
            <w:rStyle w:val="Collegamentoipertestuale"/>
            <w:rFonts w:cs="Calibri"/>
          </w:rPr>
          <w:t>M. TRASPARENZA</w:t>
        </w:r>
        <w:r w:rsidR="006F5EF7">
          <w:rPr>
            <w:webHidden/>
          </w:rPr>
          <w:tab/>
        </w:r>
        <w:r>
          <w:rPr>
            <w:webHidden/>
          </w:rPr>
          <w:fldChar w:fldCharType="begin"/>
        </w:r>
        <w:r w:rsidR="006F5EF7">
          <w:rPr>
            <w:webHidden/>
          </w:rPr>
          <w:instrText xml:space="preserve"> PAGEREF _Toc101602046 \h </w:instrText>
        </w:r>
        <w:r>
          <w:rPr>
            <w:webHidden/>
          </w:rPr>
        </w:r>
        <w:r>
          <w:rPr>
            <w:webHidden/>
          </w:rPr>
          <w:fldChar w:fldCharType="separate"/>
        </w:r>
        <w:r w:rsidR="006F5EF7">
          <w:rPr>
            <w:webHidden/>
          </w:rPr>
          <w:t>51</w:t>
        </w:r>
        <w:r>
          <w:rPr>
            <w:webHidden/>
          </w:rPr>
          <w:fldChar w:fldCharType="end"/>
        </w:r>
      </w:hyperlink>
    </w:p>
    <w:p w:rsidR="00E73686" w:rsidRPr="00B67FEC" w:rsidRDefault="00787A42" w:rsidP="008E2618">
      <w:pPr>
        <w:spacing w:after="120"/>
        <w:rPr>
          <w:rFonts w:cs="Calibri"/>
        </w:rPr>
      </w:pPr>
      <w:r w:rsidRPr="00B67FEC">
        <w:rPr>
          <w:rFonts w:cs="Calibri"/>
          <w:bCs/>
        </w:rPr>
        <w:fldChar w:fldCharType="end"/>
      </w:r>
    </w:p>
    <w:p w:rsidR="00326961" w:rsidRPr="00F21B61" w:rsidRDefault="00326961" w:rsidP="00F21B61">
      <w:pPr>
        <w:pStyle w:val="Titolo1"/>
      </w:pPr>
      <w:r w:rsidRPr="008F710D">
        <w:rPr>
          <w:sz w:val="20"/>
          <w:szCs w:val="20"/>
        </w:rPr>
        <w:br w:type="page"/>
      </w:r>
      <w:bookmarkStart w:id="0" w:name="_Toc28966868"/>
      <w:bookmarkStart w:id="1" w:name="_Toc28967088"/>
      <w:bookmarkStart w:id="2" w:name="_Toc28967340"/>
      <w:bookmarkStart w:id="3" w:name="_Toc101601996"/>
      <w:r w:rsidR="00EA2257" w:rsidRPr="00F21B61">
        <w:lastRenderedPageBreak/>
        <w:t>PREMESSA</w:t>
      </w:r>
      <w:bookmarkEnd w:id="0"/>
      <w:bookmarkEnd w:id="1"/>
      <w:bookmarkEnd w:id="2"/>
      <w:bookmarkEnd w:id="3"/>
    </w:p>
    <w:p w:rsidR="00441D73" w:rsidRPr="00B67FEC" w:rsidRDefault="00441D73" w:rsidP="0049154B">
      <w:pPr>
        <w:rPr>
          <w:rFonts w:eastAsia="MS Mincho" w:cs="Calibri"/>
          <w:szCs w:val="20"/>
          <w:lang w:eastAsia="ja-JP"/>
        </w:rPr>
      </w:pPr>
      <w:r w:rsidRPr="00B67FEC">
        <w:rPr>
          <w:rFonts w:eastAsia="MS Mincho" w:cs="Calibri"/>
          <w:szCs w:val="20"/>
          <w:lang w:eastAsia="ja-JP"/>
        </w:rPr>
        <w:t xml:space="preserve">La sempre maggiore attenzione alla prevenzione dei fenomeni corruttivi nell’amministrazione della </w:t>
      </w:r>
      <w:proofErr w:type="spellStart"/>
      <w:r w:rsidRPr="00B67FEC">
        <w:rPr>
          <w:rFonts w:eastAsia="MS Mincho" w:cs="Calibri"/>
          <w:i/>
          <w:iCs/>
          <w:szCs w:val="20"/>
          <w:lang w:eastAsia="ja-JP"/>
        </w:rPr>
        <w:t>res</w:t>
      </w:r>
      <w:proofErr w:type="spellEnd"/>
      <w:r w:rsidRPr="00B67FEC">
        <w:rPr>
          <w:rFonts w:eastAsia="MS Mincho" w:cs="Calibri"/>
          <w:i/>
          <w:iCs/>
          <w:szCs w:val="20"/>
          <w:lang w:eastAsia="ja-JP"/>
        </w:rPr>
        <w:t xml:space="preserve"> </w:t>
      </w:r>
      <w:proofErr w:type="spellStart"/>
      <w:r w:rsidRPr="00B67FEC">
        <w:rPr>
          <w:rFonts w:eastAsia="MS Mincho" w:cs="Calibri"/>
          <w:i/>
          <w:iCs/>
          <w:szCs w:val="20"/>
          <w:lang w:eastAsia="ja-JP"/>
        </w:rPr>
        <w:t>publica</w:t>
      </w:r>
      <w:proofErr w:type="spellEnd"/>
      <w:r w:rsidRPr="00B67FEC">
        <w:rPr>
          <w:rFonts w:eastAsia="MS Mincho" w:cs="Calibri"/>
          <w:i/>
          <w:iCs/>
          <w:szCs w:val="20"/>
          <w:lang w:eastAsia="ja-JP"/>
        </w:rPr>
        <w:t xml:space="preserve"> </w:t>
      </w:r>
      <w:r w:rsidRPr="00B67FEC">
        <w:rPr>
          <w:rFonts w:eastAsia="MS Mincho" w:cs="Calibri"/>
          <w:szCs w:val="20"/>
          <w:lang w:eastAsia="ja-JP"/>
        </w:rPr>
        <w:t>ha portato all’approvazione della Legge 6 novembre 2012 n. 190 “Disposizioni per la prevenzione e la repressione della corruzione e dell’illegalità nella pubblica amministrazione”, che ha disciplinato in modo organico un piano di azione, coordinata su tutto il territorio nazionale, volto al controllo, prevenzione e contrasto della corruzione e dell’illegalità.</w:t>
      </w:r>
    </w:p>
    <w:p w:rsidR="00441D73" w:rsidRPr="00B67FEC" w:rsidRDefault="00441D73" w:rsidP="0049154B">
      <w:pPr>
        <w:rPr>
          <w:rFonts w:eastAsia="MS Mincho" w:cs="Calibri"/>
          <w:lang w:eastAsia="ja-JP"/>
        </w:rPr>
      </w:pPr>
      <w:r w:rsidRPr="00B67FEC">
        <w:rPr>
          <w:rFonts w:eastAsia="MS Mincho" w:cs="Calibri"/>
          <w:lang w:eastAsia="ja-JP"/>
        </w:rPr>
        <w:t>La riforma, presentata come momento imprescindibile per il rilancio del Paese, poiché tesa ad implementare l’apparato preventivo e repressivo contro l’illegalità nella pubblica amministrazione, corrisponde all’esigenza di innovare un sistema normativo ritenuto da tempo inadeguato a contrastare fenomeni sempre più diffusi e insidiosi ed è volta a ridurre la “forbice” tra la realtà effettiva e quella che emerge dall’esperienza giudiziaria.</w:t>
      </w:r>
    </w:p>
    <w:p w:rsidR="00C93638" w:rsidRPr="00B67FEC" w:rsidRDefault="00C93638" w:rsidP="0049154B">
      <w:pPr>
        <w:rPr>
          <w:rFonts w:eastAsia="MS Mincho" w:cs="Calibri"/>
          <w:szCs w:val="20"/>
          <w:lang w:eastAsia="ja-JP"/>
        </w:rPr>
      </w:pPr>
    </w:p>
    <w:p w:rsidR="00C82DCA" w:rsidRPr="00B67FEC" w:rsidRDefault="00441D73" w:rsidP="0049154B">
      <w:pPr>
        <w:rPr>
          <w:rFonts w:eastAsia="MS Mincho" w:cs="Calibri"/>
          <w:szCs w:val="20"/>
          <w:lang w:eastAsia="ja-JP"/>
        </w:rPr>
      </w:pPr>
      <w:r w:rsidRPr="00B67FEC">
        <w:rPr>
          <w:rFonts w:eastAsia="MS Mincho" w:cs="Calibri"/>
          <w:szCs w:val="20"/>
          <w:lang w:eastAsia="ja-JP"/>
        </w:rPr>
        <w:t xml:space="preserve">L’obiettivo è la prevenzione e la repressione del fenomeno della corruzione attraverso un approccio multidisciplinare, nel quale gli strumenti sanzionatori si configurano solamente come alcuni dei fattori per la lotta alla corruzione e all’illegalità nell’azione amministrativa. </w:t>
      </w:r>
    </w:p>
    <w:p w:rsidR="00441D73" w:rsidRPr="00B67FEC" w:rsidRDefault="00441D73" w:rsidP="0049154B">
      <w:pPr>
        <w:rPr>
          <w:rFonts w:eastAsia="MS Mincho" w:cs="Calibri"/>
          <w:szCs w:val="20"/>
          <w:lang w:eastAsia="ja-JP"/>
        </w:rPr>
      </w:pPr>
      <w:r w:rsidRPr="00B67FEC">
        <w:rPr>
          <w:rFonts w:eastAsia="MS Mincho" w:cs="Calibri"/>
          <w:szCs w:val="20"/>
          <w:lang w:eastAsia="ja-JP"/>
        </w:rPr>
        <w:t>In specifico si pongono a sostegno del provvedimento legislativo motivazioni di trasparenza e controllo proveniente dai cittadini e di adeguamento dell’ordinamento giuridico italiano agli standard internazionali.</w:t>
      </w:r>
    </w:p>
    <w:p w:rsidR="00441D73" w:rsidRPr="00B67FEC" w:rsidRDefault="00C82DCA" w:rsidP="0049154B">
      <w:pPr>
        <w:rPr>
          <w:rFonts w:eastAsia="MS Mincho" w:cs="Calibri"/>
          <w:szCs w:val="20"/>
          <w:lang w:eastAsia="ja-JP"/>
        </w:rPr>
      </w:pPr>
      <w:r w:rsidRPr="00B67FEC">
        <w:rPr>
          <w:rFonts w:eastAsia="MS Mincho" w:cs="Calibri"/>
          <w:szCs w:val="20"/>
          <w:lang w:eastAsia="ja-JP"/>
        </w:rPr>
        <w:t>L</w:t>
      </w:r>
      <w:r w:rsidR="00441D73" w:rsidRPr="00B67FEC">
        <w:rPr>
          <w:rFonts w:eastAsia="MS Mincho" w:cs="Calibri"/>
          <w:szCs w:val="20"/>
          <w:lang w:eastAsia="ja-JP"/>
        </w:rPr>
        <w:t xml:space="preserve">e motivazioni che possono indurre alla corruzione </w:t>
      </w:r>
      <w:r w:rsidR="003F542A" w:rsidRPr="00B67FEC">
        <w:rPr>
          <w:rFonts w:eastAsia="MS Mincho" w:cs="Calibri"/>
          <w:szCs w:val="20"/>
          <w:lang w:eastAsia="ja-JP"/>
        </w:rPr>
        <w:t>trovano riscontro nei</w:t>
      </w:r>
      <w:r w:rsidR="00441D73" w:rsidRPr="00B67FEC">
        <w:rPr>
          <w:rFonts w:eastAsia="MS Mincho" w:cs="Calibri"/>
          <w:szCs w:val="20"/>
          <w:lang w:eastAsia="ja-JP"/>
        </w:rPr>
        <w:t xml:space="preserve"> seguenti due ordini di ragioni:</w:t>
      </w:r>
    </w:p>
    <w:p w:rsidR="00441D73" w:rsidRPr="00B67FEC" w:rsidRDefault="00F902C5" w:rsidP="00B67FEC">
      <w:pPr>
        <w:numPr>
          <w:ilvl w:val="0"/>
          <w:numId w:val="8"/>
        </w:numPr>
        <w:rPr>
          <w:rFonts w:eastAsia="MS Mincho" w:cs="Calibri"/>
          <w:szCs w:val="20"/>
          <w:lang w:eastAsia="ja-JP"/>
        </w:rPr>
      </w:pPr>
      <w:r w:rsidRPr="00B67FEC">
        <w:rPr>
          <w:rFonts w:eastAsia="MS Mincho" w:cs="Calibri"/>
          <w:szCs w:val="20"/>
          <w:lang w:eastAsia="ja-JP"/>
        </w:rPr>
        <w:t>Ragioni</w:t>
      </w:r>
      <w:r w:rsidR="00441D73" w:rsidRPr="00B67FEC">
        <w:rPr>
          <w:rFonts w:eastAsia="MS Mincho" w:cs="Calibri"/>
          <w:szCs w:val="20"/>
          <w:lang w:eastAsia="ja-JP"/>
        </w:rPr>
        <w:t xml:space="preserve"> economiche, derivanti dal bilanciamento tra l’utilità che si ritiene di poter</w:t>
      </w:r>
      <w:r w:rsidR="007A6C11" w:rsidRPr="00B67FEC">
        <w:rPr>
          <w:rFonts w:eastAsia="MS Mincho" w:cs="Calibri"/>
          <w:szCs w:val="20"/>
          <w:lang w:eastAsia="ja-JP"/>
        </w:rPr>
        <w:t xml:space="preserve"> </w:t>
      </w:r>
      <w:r w:rsidR="00441D73" w:rsidRPr="00B67FEC">
        <w:rPr>
          <w:rFonts w:eastAsia="MS Mincho" w:cs="Calibri"/>
          <w:szCs w:val="20"/>
          <w:lang w:eastAsia="ja-JP"/>
        </w:rPr>
        <w:t>ottenere, la probabilità che il proprio comportamento sia scoperto e la severità delle</w:t>
      </w:r>
      <w:r w:rsidR="007A6C11" w:rsidRPr="00B67FEC">
        <w:rPr>
          <w:rFonts w:eastAsia="MS Mincho" w:cs="Calibri"/>
          <w:szCs w:val="20"/>
          <w:lang w:eastAsia="ja-JP"/>
        </w:rPr>
        <w:t xml:space="preserve"> </w:t>
      </w:r>
      <w:r w:rsidR="000E4F44">
        <w:rPr>
          <w:rFonts w:eastAsia="MS Mincho" w:cs="Calibri"/>
          <w:szCs w:val="20"/>
          <w:lang w:eastAsia="ja-JP"/>
        </w:rPr>
        <w:t>sanzioni previste.</w:t>
      </w:r>
    </w:p>
    <w:p w:rsidR="00441D73" w:rsidRPr="00B67FEC" w:rsidRDefault="00F902C5" w:rsidP="00B67FEC">
      <w:pPr>
        <w:numPr>
          <w:ilvl w:val="0"/>
          <w:numId w:val="8"/>
        </w:numPr>
        <w:rPr>
          <w:rFonts w:eastAsia="MS Mincho" w:cs="Calibri"/>
          <w:szCs w:val="20"/>
          <w:lang w:eastAsia="ja-JP"/>
        </w:rPr>
      </w:pPr>
      <w:r w:rsidRPr="00B67FEC">
        <w:rPr>
          <w:rFonts w:eastAsia="MS Mincho" w:cs="Calibri"/>
          <w:szCs w:val="20"/>
          <w:lang w:eastAsia="ja-JP"/>
        </w:rPr>
        <w:t>Ragioni</w:t>
      </w:r>
      <w:r w:rsidR="00441D73" w:rsidRPr="00B67FEC">
        <w:rPr>
          <w:rFonts w:eastAsia="MS Mincho" w:cs="Calibri"/>
          <w:szCs w:val="20"/>
          <w:lang w:eastAsia="ja-JP"/>
        </w:rPr>
        <w:t xml:space="preserve"> socio-culturali: la corruzione è tanto m</w:t>
      </w:r>
      <w:r w:rsidR="007A6C11" w:rsidRPr="00B67FEC">
        <w:rPr>
          <w:rFonts w:eastAsia="MS Mincho" w:cs="Calibri"/>
          <w:szCs w:val="20"/>
          <w:lang w:eastAsia="ja-JP"/>
        </w:rPr>
        <w:t xml:space="preserve">eno diffusa quanto maggiore è la </w:t>
      </w:r>
      <w:r w:rsidR="00441D73" w:rsidRPr="00B67FEC">
        <w:rPr>
          <w:rFonts w:eastAsia="MS Mincho" w:cs="Calibri"/>
          <w:szCs w:val="20"/>
          <w:lang w:eastAsia="ja-JP"/>
        </w:rPr>
        <w:t>forza delle convinzioni personali e di cerchie sociali che riconoscono come un valore</w:t>
      </w:r>
      <w:r w:rsidR="007A6C11" w:rsidRPr="00B67FEC">
        <w:rPr>
          <w:rFonts w:eastAsia="MS Mincho" w:cs="Calibri"/>
          <w:szCs w:val="20"/>
          <w:lang w:eastAsia="ja-JP"/>
        </w:rPr>
        <w:t xml:space="preserve"> </w:t>
      </w:r>
      <w:r w:rsidR="00441D73" w:rsidRPr="00B67FEC">
        <w:rPr>
          <w:rFonts w:eastAsia="MS Mincho" w:cs="Calibri"/>
          <w:szCs w:val="20"/>
          <w:lang w:eastAsia="ja-JP"/>
        </w:rPr>
        <w:t>il rispetto della legge: dove è più elevato il senso civico e il senso dello Stato dei</w:t>
      </w:r>
      <w:r w:rsidR="007A6C11" w:rsidRPr="00B67FEC">
        <w:rPr>
          <w:rFonts w:eastAsia="MS Mincho" w:cs="Calibri"/>
          <w:szCs w:val="20"/>
          <w:lang w:eastAsia="ja-JP"/>
        </w:rPr>
        <w:t xml:space="preserve"> </w:t>
      </w:r>
      <w:r w:rsidR="00441D73" w:rsidRPr="00B67FEC">
        <w:rPr>
          <w:rFonts w:eastAsia="MS Mincho" w:cs="Calibri"/>
          <w:szCs w:val="20"/>
          <w:lang w:eastAsia="ja-JP"/>
        </w:rPr>
        <w:t>funzionari pubblici, i fenomeni corruttivi non trovano terreno fertile per annidarsi.</w:t>
      </w:r>
    </w:p>
    <w:p w:rsidR="00441D73" w:rsidRPr="00B67FEC" w:rsidRDefault="00441D73" w:rsidP="0049154B">
      <w:pPr>
        <w:rPr>
          <w:rFonts w:eastAsia="MS Mincho" w:cs="Calibri"/>
          <w:szCs w:val="20"/>
          <w:lang w:eastAsia="ja-JP"/>
        </w:rPr>
      </w:pPr>
    </w:p>
    <w:p w:rsidR="00441D73" w:rsidRPr="00B67FEC" w:rsidRDefault="00441D73" w:rsidP="0049154B">
      <w:pPr>
        <w:rPr>
          <w:rFonts w:eastAsia="MS Mincho" w:cs="Calibri"/>
          <w:szCs w:val="20"/>
          <w:lang w:eastAsia="ja-JP"/>
        </w:rPr>
      </w:pPr>
      <w:r w:rsidRPr="00B67FEC">
        <w:rPr>
          <w:rFonts w:eastAsia="MS Mincho" w:cs="Calibri"/>
          <w:szCs w:val="20"/>
          <w:lang w:eastAsia="ja-JP"/>
        </w:rPr>
        <w:t>La corruzione, e più generale il malfunzionamento dell’amministrazione a causa</w:t>
      </w:r>
      <w:r w:rsidR="007A6C11" w:rsidRPr="00B67FEC">
        <w:rPr>
          <w:rFonts w:eastAsia="MS Mincho" w:cs="Calibri"/>
          <w:szCs w:val="20"/>
          <w:lang w:eastAsia="ja-JP"/>
        </w:rPr>
        <w:t xml:space="preserve"> </w:t>
      </w:r>
      <w:r w:rsidRPr="00B67FEC">
        <w:rPr>
          <w:rFonts w:eastAsia="MS Mincho" w:cs="Calibri"/>
          <w:szCs w:val="20"/>
          <w:lang w:eastAsia="ja-JP"/>
        </w:rPr>
        <w:t>dell’uso a fini privati delle funzioni attribuite, ha un costo per la collettività, non solo</w:t>
      </w:r>
      <w:r w:rsidR="007A6C11" w:rsidRPr="00B67FEC">
        <w:rPr>
          <w:rFonts w:eastAsia="MS Mincho" w:cs="Calibri"/>
          <w:szCs w:val="20"/>
          <w:lang w:eastAsia="ja-JP"/>
        </w:rPr>
        <w:t xml:space="preserve"> </w:t>
      </w:r>
      <w:r w:rsidRPr="00B67FEC">
        <w:rPr>
          <w:rFonts w:eastAsia="MS Mincho" w:cs="Calibri"/>
          <w:szCs w:val="20"/>
          <w:lang w:eastAsia="ja-JP"/>
        </w:rPr>
        <w:t>diretto (come, ad esempio, nel caso di pagamenti illeciti), ma anche indiretto,</w:t>
      </w:r>
      <w:r w:rsidR="007A6C11" w:rsidRPr="00B67FEC">
        <w:rPr>
          <w:rFonts w:eastAsia="MS Mincho" w:cs="Calibri"/>
          <w:szCs w:val="20"/>
          <w:lang w:eastAsia="ja-JP"/>
        </w:rPr>
        <w:t xml:space="preserve"> </w:t>
      </w:r>
      <w:r w:rsidRPr="00B67FEC">
        <w:rPr>
          <w:rFonts w:eastAsia="MS Mincho" w:cs="Calibri"/>
          <w:szCs w:val="20"/>
          <w:lang w:eastAsia="ja-JP"/>
        </w:rPr>
        <w:t>connesso ai ritardi nella conclusione dei procedimenti amministrativi, al cattivo</w:t>
      </w:r>
      <w:r w:rsidR="007A6C11" w:rsidRPr="00B67FEC">
        <w:rPr>
          <w:rFonts w:eastAsia="MS Mincho" w:cs="Calibri"/>
          <w:szCs w:val="20"/>
          <w:lang w:eastAsia="ja-JP"/>
        </w:rPr>
        <w:t xml:space="preserve"> </w:t>
      </w:r>
      <w:r w:rsidRPr="00B67FEC">
        <w:rPr>
          <w:rFonts w:eastAsia="MS Mincho" w:cs="Calibri"/>
          <w:szCs w:val="20"/>
          <w:lang w:eastAsia="ja-JP"/>
        </w:rPr>
        <w:t>funzionamento degli appar</w:t>
      </w:r>
      <w:r w:rsidR="004A0DCA" w:rsidRPr="00B67FEC">
        <w:rPr>
          <w:rFonts w:eastAsia="MS Mincho" w:cs="Calibri"/>
          <w:szCs w:val="20"/>
          <w:lang w:eastAsia="ja-JP"/>
        </w:rPr>
        <w:t xml:space="preserve">ati pubblici, alla sfiducia del </w:t>
      </w:r>
      <w:r w:rsidRPr="00B67FEC">
        <w:rPr>
          <w:rFonts w:eastAsia="MS Mincho" w:cs="Calibri"/>
          <w:szCs w:val="20"/>
          <w:lang w:eastAsia="ja-JP"/>
        </w:rPr>
        <w:t>cittadino nei confronti delle</w:t>
      </w:r>
      <w:r w:rsidR="007A6C11" w:rsidRPr="00B67FEC">
        <w:rPr>
          <w:rFonts w:eastAsia="MS Mincho" w:cs="Calibri"/>
          <w:szCs w:val="20"/>
          <w:lang w:eastAsia="ja-JP"/>
        </w:rPr>
        <w:t xml:space="preserve"> </w:t>
      </w:r>
      <w:r w:rsidRPr="00B67FEC">
        <w:rPr>
          <w:rFonts w:eastAsia="MS Mincho" w:cs="Calibri"/>
          <w:szCs w:val="20"/>
          <w:lang w:eastAsia="ja-JP"/>
        </w:rPr>
        <w:t xml:space="preserve">istituzioni, arrivando </w:t>
      </w:r>
      <w:r w:rsidR="007A6C11" w:rsidRPr="00B67FEC">
        <w:rPr>
          <w:rFonts w:eastAsia="MS Mincho" w:cs="Calibri"/>
          <w:szCs w:val="20"/>
          <w:lang w:eastAsia="ja-JP"/>
        </w:rPr>
        <w:t xml:space="preserve">a minare i valori </w:t>
      </w:r>
      <w:r w:rsidRPr="00B67FEC">
        <w:rPr>
          <w:rFonts w:eastAsia="MS Mincho" w:cs="Calibri"/>
          <w:szCs w:val="20"/>
          <w:lang w:eastAsia="ja-JP"/>
        </w:rPr>
        <w:t>fondamentali sanciti dalla Costituzione:</w:t>
      </w:r>
      <w:r w:rsidR="007A6C11" w:rsidRPr="00B67FEC">
        <w:rPr>
          <w:rFonts w:eastAsia="MS Mincho" w:cs="Calibri"/>
          <w:szCs w:val="20"/>
          <w:lang w:eastAsia="ja-JP"/>
        </w:rPr>
        <w:t xml:space="preserve"> </w:t>
      </w:r>
      <w:r w:rsidRPr="00B67FEC">
        <w:rPr>
          <w:rFonts w:eastAsia="MS Mincho" w:cs="Calibri"/>
          <w:szCs w:val="20"/>
          <w:lang w:eastAsia="ja-JP"/>
        </w:rPr>
        <w:t>uguaglianza, trasparenza dei processi decisionali, pari opportunità dei cittadini.</w:t>
      </w:r>
    </w:p>
    <w:p w:rsidR="004A0DCA" w:rsidRPr="00B67FEC" w:rsidRDefault="004A0DCA" w:rsidP="0049154B">
      <w:pPr>
        <w:rPr>
          <w:rFonts w:eastAsia="MS Mincho" w:cs="Calibri"/>
          <w:szCs w:val="20"/>
          <w:lang w:eastAsia="ja-JP"/>
        </w:rPr>
      </w:pPr>
    </w:p>
    <w:p w:rsidR="00441D73" w:rsidRPr="00B67FEC" w:rsidRDefault="00441D73" w:rsidP="0049154B">
      <w:pPr>
        <w:rPr>
          <w:rFonts w:eastAsia="MS Mincho" w:cs="Calibri"/>
          <w:szCs w:val="20"/>
          <w:lang w:eastAsia="ja-JP"/>
        </w:rPr>
      </w:pPr>
      <w:r w:rsidRPr="00B67FEC">
        <w:rPr>
          <w:rFonts w:eastAsia="MS Mincho" w:cs="Calibri"/>
          <w:szCs w:val="20"/>
          <w:lang w:eastAsia="ja-JP"/>
        </w:rPr>
        <w:t xml:space="preserve">Diventa pertanto </w:t>
      </w:r>
      <w:r w:rsidR="004A0DCA" w:rsidRPr="00B67FEC">
        <w:rPr>
          <w:rFonts w:eastAsia="MS Mincho" w:cs="Calibri"/>
          <w:szCs w:val="20"/>
          <w:lang w:eastAsia="ja-JP"/>
        </w:rPr>
        <w:t>inderogabile</w:t>
      </w:r>
      <w:r w:rsidRPr="00B67FEC">
        <w:rPr>
          <w:rFonts w:eastAsia="MS Mincho" w:cs="Calibri"/>
          <w:szCs w:val="20"/>
          <w:lang w:eastAsia="ja-JP"/>
        </w:rPr>
        <w:t xml:space="preserve"> </w:t>
      </w:r>
      <w:r w:rsidR="0016621D" w:rsidRPr="00B67FEC">
        <w:rPr>
          <w:rFonts w:eastAsia="MS Mincho" w:cs="Calibri"/>
          <w:szCs w:val="20"/>
          <w:lang w:eastAsia="ja-JP"/>
        </w:rPr>
        <w:t>avviare</w:t>
      </w:r>
      <w:r w:rsidRPr="00B67FEC">
        <w:rPr>
          <w:rFonts w:eastAsia="MS Mincho" w:cs="Calibri"/>
          <w:szCs w:val="20"/>
          <w:lang w:eastAsia="ja-JP"/>
        </w:rPr>
        <w:t xml:space="preserve"> una forma efficace di prevenzione e</w:t>
      </w:r>
      <w:r w:rsidR="007A6C11" w:rsidRPr="00B67FEC">
        <w:rPr>
          <w:rFonts w:eastAsia="MS Mincho" w:cs="Calibri"/>
          <w:szCs w:val="20"/>
          <w:lang w:eastAsia="ja-JP"/>
        </w:rPr>
        <w:t xml:space="preserve"> </w:t>
      </w:r>
      <w:r w:rsidRPr="00B67FEC">
        <w:rPr>
          <w:rFonts w:eastAsia="MS Mincho" w:cs="Calibri"/>
          <w:szCs w:val="20"/>
          <w:lang w:eastAsia="ja-JP"/>
        </w:rPr>
        <w:t>contrasto della corruzione, azione cui la Legge intende attendere prevedendo che tutte</w:t>
      </w:r>
      <w:r w:rsidR="007A6C11" w:rsidRPr="00B67FEC">
        <w:rPr>
          <w:rFonts w:eastAsia="MS Mincho" w:cs="Calibri"/>
          <w:szCs w:val="20"/>
          <w:lang w:eastAsia="ja-JP"/>
        </w:rPr>
        <w:t xml:space="preserve"> </w:t>
      </w:r>
      <w:r w:rsidRPr="00B67FEC">
        <w:rPr>
          <w:rFonts w:eastAsia="MS Mincho" w:cs="Calibri"/>
          <w:szCs w:val="20"/>
          <w:lang w:eastAsia="ja-JP"/>
        </w:rPr>
        <w:t xml:space="preserve">le Amministrazioni pubbliche definiscano un proprio </w:t>
      </w:r>
      <w:r w:rsidR="00D27633" w:rsidRPr="00B67FEC">
        <w:rPr>
          <w:rFonts w:eastAsia="MS Mincho" w:cs="Calibri"/>
          <w:b/>
          <w:szCs w:val="20"/>
          <w:lang w:eastAsia="ja-JP"/>
        </w:rPr>
        <w:t>Piano Triennale della Prevenzione della Corruzione e della Trasparenza (</w:t>
      </w:r>
      <w:proofErr w:type="spellStart"/>
      <w:r w:rsidR="00D27633" w:rsidRPr="00B67FEC">
        <w:rPr>
          <w:rFonts w:eastAsia="MS Mincho" w:cs="Calibri"/>
          <w:b/>
          <w:szCs w:val="20"/>
          <w:lang w:eastAsia="ja-JP"/>
        </w:rPr>
        <w:t>PTPC</w:t>
      </w:r>
      <w:r w:rsidR="00376EE4" w:rsidRPr="00B67FEC">
        <w:rPr>
          <w:rFonts w:eastAsia="MS Mincho" w:cs="Calibri"/>
          <w:b/>
          <w:szCs w:val="20"/>
          <w:lang w:eastAsia="ja-JP"/>
        </w:rPr>
        <w:t>eT</w:t>
      </w:r>
      <w:proofErr w:type="spellEnd"/>
      <w:r w:rsidR="00D27633" w:rsidRPr="00B67FEC">
        <w:rPr>
          <w:rFonts w:eastAsia="MS Mincho" w:cs="Calibri"/>
          <w:b/>
          <w:szCs w:val="20"/>
          <w:lang w:eastAsia="ja-JP"/>
        </w:rPr>
        <w:t>)</w:t>
      </w:r>
      <w:r w:rsidRPr="00B67FEC">
        <w:rPr>
          <w:rFonts w:eastAsia="MS Mincho" w:cs="Calibri"/>
          <w:szCs w:val="20"/>
          <w:lang w:eastAsia="ja-JP"/>
        </w:rPr>
        <w:t>, che fornisca una</w:t>
      </w:r>
      <w:r w:rsidR="007A6C11" w:rsidRPr="00B67FEC">
        <w:rPr>
          <w:rFonts w:eastAsia="MS Mincho" w:cs="Calibri"/>
          <w:szCs w:val="20"/>
          <w:lang w:eastAsia="ja-JP"/>
        </w:rPr>
        <w:t xml:space="preserve"> </w:t>
      </w:r>
      <w:r w:rsidRPr="00B67FEC">
        <w:rPr>
          <w:rFonts w:eastAsia="MS Mincho" w:cs="Calibri"/>
          <w:szCs w:val="20"/>
          <w:lang w:eastAsia="ja-JP"/>
        </w:rPr>
        <w:t>val</w:t>
      </w:r>
      <w:r w:rsidR="007A6C11" w:rsidRPr="00B67FEC">
        <w:rPr>
          <w:rFonts w:eastAsia="MS Mincho" w:cs="Calibri"/>
          <w:szCs w:val="20"/>
          <w:lang w:eastAsia="ja-JP"/>
        </w:rPr>
        <w:t xml:space="preserve">utazione del diverso livello di </w:t>
      </w:r>
      <w:r w:rsidRPr="00B67FEC">
        <w:rPr>
          <w:rFonts w:eastAsia="MS Mincho" w:cs="Calibri"/>
          <w:szCs w:val="20"/>
          <w:lang w:eastAsia="ja-JP"/>
        </w:rPr>
        <w:t>esposizione degli uffici al rischio di corruzione e</w:t>
      </w:r>
      <w:r w:rsidR="007A6C11" w:rsidRPr="00B67FEC">
        <w:rPr>
          <w:rFonts w:eastAsia="MS Mincho" w:cs="Calibri"/>
          <w:szCs w:val="20"/>
          <w:lang w:eastAsia="ja-JP"/>
        </w:rPr>
        <w:t xml:space="preserve"> </w:t>
      </w:r>
      <w:r w:rsidRPr="00B67FEC">
        <w:rPr>
          <w:rFonts w:eastAsia="MS Mincho" w:cs="Calibri"/>
          <w:szCs w:val="20"/>
          <w:lang w:eastAsia="ja-JP"/>
        </w:rPr>
        <w:t>indichi gli interventi organizzativi volti a prevenirne il rischio, e predisponga</w:t>
      </w:r>
      <w:r w:rsidR="007A6C11" w:rsidRPr="00B67FEC">
        <w:rPr>
          <w:rFonts w:eastAsia="MS Mincho" w:cs="Calibri"/>
          <w:szCs w:val="20"/>
          <w:lang w:eastAsia="ja-JP"/>
        </w:rPr>
        <w:t xml:space="preserve"> </w:t>
      </w:r>
      <w:r w:rsidRPr="00B67FEC">
        <w:rPr>
          <w:rFonts w:eastAsia="MS Mincho" w:cs="Calibri"/>
          <w:szCs w:val="20"/>
          <w:lang w:eastAsia="ja-JP"/>
        </w:rPr>
        <w:t>procedure dirette a selezionare e formare i dipendenti chiamati ad operare nei settori</w:t>
      </w:r>
      <w:r w:rsidR="007A6C11" w:rsidRPr="00B67FEC">
        <w:rPr>
          <w:rFonts w:eastAsia="MS Mincho" w:cs="Calibri"/>
          <w:szCs w:val="20"/>
          <w:lang w:eastAsia="ja-JP"/>
        </w:rPr>
        <w:t xml:space="preserve"> </w:t>
      </w:r>
      <w:r w:rsidRPr="00B67FEC">
        <w:rPr>
          <w:rFonts w:eastAsia="MS Mincho" w:cs="Calibri"/>
          <w:szCs w:val="20"/>
          <w:lang w:eastAsia="ja-JP"/>
        </w:rPr>
        <w:t>particolarmente esposti alla corruzione.</w:t>
      </w:r>
    </w:p>
    <w:p w:rsidR="00AD6924" w:rsidRPr="00B67FEC" w:rsidRDefault="00AD6924" w:rsidP="0049154B">
      <w:pPr>
        <w:rPr>
          <w:rFonts w:eastAsia="MS Mincho" w:cs="Calibri"/>
          <w:szCs w:val="20"/>
          <w:lang w:eastAsia="ja-JP"/>
        </w:rPr>
      </w:pPr>
    </w:p>
    <w:p w:rsidR="00433A2D" w:rsidRPr="00B67FEC" w:rsidRDefault="00433A2D" w:rsidP="00433A2D">
      <w:pPr>
        <w:rPr>
          <w:rFonts w:eastAsia="MS Mincho" w:cs="Calibri"/>
          <w:szCs w:val="20"/>
          <w:lang w:eastAsia="ja-JP"/>
        </w:rPr>
      </w:pPr>
      <w:r w:rsidRPr="00B67FEC">
        <w:rPr>
          <w:rFonts w:eastAsia="MS Mincho" w:cs="Calibri"/>
          <w:szCs w:val="20"/>
          <w:lang w:eastAsia="ja-JP"/>
        </w:rPr>
        <w:t xml:space="preserve">Il Piano di prevenzione della corruzione </w:t>
      </w:r>
      <w:r w:rsidR="002021DD" w:rsidRPr="00B67FEC">
        <w:rPr>
          <w:rFonts w:eastAsia="MS Mincho" w:cs="Calibri"/>
          <w:szCs w:val="20"/>
          <w:lang w:eastAsia="ja-JP"/>
        </w:rPr>
        <w:t xml:space="preserve">di </w:t>
      </w:r>
      <w:r w:rsidR="00EC0950">
        <w:rPr>
          <w:rFonts w:eastAsia="MS Mincho" w:cs="Calibri"/>
          <w:szCs w:val="20"/>
          <w:lang w:eastAsia="ja-JP"/>
        </w:rPr>
        <w:t>Segrate Servizi Srl</w:t>
      </w:r>
      <w:r w:rsidRPr="00B67FEC">
        <w:rPr>
          <w:rFonts w:eastAsia="MS Mincho" w:cs="Calibri"/>
          <w:szCs w:val="20"/>
          <w:lang w:eastAsia="ja-JP"/>
        </w:rPr>
        <w:t xml:space="preserve"> </w:t>
      </w:r>
      <w:r w:rsidR="002021DD" w:rsidRPr="00B67FEC">
        <w:rPr>
          <w:rFonts w:eastAsia="MS Mincho" w:cs="Calibri"/>
          <w:szCs w:val="20"/>
          <w:lang w:eastAsia="ja-JP"/>
        </w:rPr>
        <w:t>è</w:t>
      </w:r>
      <w:r w:rsidRPr="00B67FEC">
        <w:rPr>
          <w:rFonts w:eastAsia="MS Mincho" w:cs="Calibri"/>
          <w:szCs w:val="20"/>
          <w:lang w:eastAsia="ja-JP"/>
        </w:rPr>
        <w:t xml:space="preserve"> adottato tenuto conto delle indicazioni disponibili alla data di approvazione, in particolare della legge 190/2012, della circolare n. 1/2013 del Dipartimento della Funzione Pubblica, le Linee di indirizzo del Comitato interministeriale per la predisposizione del Piano Nazionale Anticorruzione da parte del </w:t>
      </w:r>
      <w:r w:rsidRPr="00B67FEC">
        <w:rPr>
          <w:rFonts w:eastAsia="MS Mincho" w:cs="Calibri"/>
          <w:szCs w:val="20"/>
          <w:lang w:eastAsia="ja-JP"/>
        </w:rPr>
        <w:lastRenderedPageBreak/>
        <w:t xml:space="preserve">Dipartimento della funzione pubblica, dei Piani Nazionali Anticorruzione approvati da  ANAC con Delibere 72/2013 (PNA), 12/2015 (PNA 2015), 831/2016 (PNA 2016), 1208/2017 (PNA 2017) e </w:t>
      </w:r>
      <w:r w:rsidR="00B53229" w:rsidRPr="00B67FEC">
        <w:rPr>
          <w:rFonts w:eastAsia="MS Mincho" w:cs="Calibri"/>
          <w:szCs w:val="20"/>
          <w:lang w:eastAsia="ja-JP"/>
        </w:rPr>
        <w:t>1074/2018 (PNA 2018</w:t>
      </w:r>
      <w:r w:rsidRPr="00B67FEC">
        <w:rPr>
          <w:rFonts w:eastAsia="MS Mincho" w:cs="Calibri"/>
          <w:szCs w:val="20"/>
          <w:lang w:eastAsia="ja-JP"/>
        </w:rPr>
        <w:t>).</w:t>
      </w:r>
    </w:p>
    <w:p w:rsidR="00433A2D" w:rsidRPr="00B67FEC" w:rsidRDefault="00433A2D" w:rsidP="00433A2D">
      <w:pPr>
        <w:rPr>
          <w:rFonts w:eastAsia="MS Mincho" w:cs="Calibri"/>
          <w:szCs w:val="20"/>
          <w:lang w:eastAsia="ja-JP"/>
        </w:rPr>
      </w:pPr>
    </w:p>
    <w:p w:rsidR="00433A2D" w:rsidRPr="00B67FEC" w:rsidRDefault="00433A2D" w:rsidP="00433A2D">
      <w:pPr>
        <w:rPr>
          <w:rFonts w:eastAsia="MS Mincho" w:cs="Calibri"/>
          <w:b/>
          <w:bCs/>
          <w:szCs w:val="20"/>
          <w:lang w:eastAsia="ja-JP"/>
        </w:rPr>
      </w:pPr>
      <w:r w:rsidRPr="00B67FEC">
        <w:rPr>
          <w:rFonts w:eastAsia="MS Mincho" w:cs="Calibri"/>
          <w:szCs w:val="20"/>
          <w:lang w:eastAsia="ja-JP"/>
        </w:rPr>
        <w:t xml:space="preserve">La presente edizione considera specificatamente gli aggiornamenti del Piano Nazionale Anticorruzione 2019 valido per il triennio 2019 - 2021, emanato da A.N.A.C. con propria delibera n. 1064 del 13 novembre 2019. </w:t>
      </w:r>
      <w:r w:rsidRPr="00B67FEC">
        <w:rPr>
          <w:rFonts w:eastAsia="MS Mincho" w:cs="Calibri"/>
          <w:b/>
          <w:bCs/>
          <w:szCs w:val="20"/>
          <w:lang w:eastAsia="ja-JP"/>
        </w:rPr>
        <w:t xml:space="preserve">Esso costituisce atto di indirizzo per le pubbliche amministrazioni e per gli altri soggetti tenuti all’applicazione della normativa, ha durata triennale e viene aggiornato annualmente. </w:t>
      </w:r>
    </w:p>
    <w:p w:rsidR="00433A2D" w:rsidRPr="00B67FEC" w:rsidRDefault="00433A2D" w:rsidP="00433A2D">
      <w:pPr>
        <w:rPr>
          <w:rFonts w:eastAsia="MS Mincho" w:cs="Calibri"/>
          <w:szCs w:val="20"/>
          <w:lang w:eastAsia="ja-JP"/>
        </w:rPr>
      </w:pPr>
    </w:p>
    <w:p w:rsidR="007C1A48" w:rsidRPr="00B67FEC" w:rsidRDefault="00263BF6" w:rsidP="0049154B">
      <w:pPr>
        <w:rPr>
          <w:rFonts w:eastAsia="MS Mincho" w:cs="Calibri"/>
          <w:i/>
          <w:szCs w:val="20"/>
          <w:lang w:eastAsia="ja-JP"/>
        </w:rPr>
      </w:pPr>
      <w:r w:rsidRPr="00B67FEC">
        <w:rPr>
          <w:rFonts w:eastAsia="MS Mincho" w:cs="Calibri"/>
          <w:szCs w:val="20"/>
          <w:lang w:eastAsia="ja-JP"/>
        </w:rPr>
        <w:t>La redazione del presente Piano tiene infine conto d</w:t>
      </w:r>
      <w:r w:rsidR="00AD6924" w:rsidRPr="00B67FEC">
        <w:rPr>
          <w:rFonts w:eastAsia="MS Mincho" w:cs="Calibri"/>
          <w:szCs w:val="20"/>
          <w:lang w:eastAsia="ja-JP"/>
        </w:rPr>
        <w:t xml:space="preserve">ei criteri contenuti nella </w:t>
      </w:r>
      <w:r w:rsidR="001575F7" w:rsidRPr="00B67FEC">
        <w:rPr>
          <w:rFonts w:eastAsia="MS Mincho" w:cs="Calibri"/>
          <w:szCs w:val="20"/>
          <w:lang w:eastAsia="ja-JP"/>
        </w:rPr>
        <w:t xml:space="preserve">Determinazione </w:t>
      </w:r>
      <w:r w:rsidR="00AD6924" w:rsidRPr="00B67FEC">
        <w:rPr>
          <w:rFonts w:eastAsia="MS Mincho" w:cs="Calibri"/>
          <w:szCs w:val="20"/>
          <w:lang w:eastAsia="ja-JP"/>
        </w:rPr>
        <w:t xml:space="preserve">ANAC </w:t>
      </w:r>
      <w:r w:rsidR="001575F7" w:rsidRPr="00B67FEC">
        <w:rPr>
          <w:rFonts w:eastAsia="MS Mincho" w:cs="Calibri"/>
          <w:szCs w:val="20"/>
          <w:lang w:eastAsia="ja-JP"/>
        </w:rPr>
        <w:t>n</w:t>
      </w:r>
      <w:r w:rsidR="003D6AC1" w:rsidRPr="00B67FEC">
        <w:rPr>
          <w:rFonts w:eastAsia="MS Mincho" w:cs="Calibri"/>
          <w:szCs w:val="20"/>
          <w:lang w:eastAsia="ja-JP"/>
        </w:rPr>
        <w:t>.</w:t>
      </w:r>
      <w:r w:rsidR="001575F7" w:rsidRPr="00B67FEC">
        <w:rPr>
          <w:rFonts w:eastAsia="MS Mincho" w:cs="Calibri"/>
          <w:szCs w:val="20"/>
          <w:lang w:eastAsia="ja-JP"/>
        </w:rPr>
        <w:t xml:space="preserve"> </w:t>
      </w:r>
      <w:r w:rsidR="0003575C" w:rsidRPr="00B67FEC">
        <w:rPr>
          <w:rFonts w:eastAsia="MS Mincho" w:cs="Calibri"/>
          <w:szCs w:val="20"/>
          <w:lang w:eastAsia="ja-JP"/>
        </w:rPr>
        <w:t>1134</w:t>
      </w:r>
      <w:r w:rsidR="001575F7" w:rsidRPr="00B67FEC">
        <w:rPr>
          <w:rFonts w:eastAsia="MS Mincho" w:cs="Calibri"/>
          <w:szCs w:val="20"/>
          <w:lang w:eastAsia="ja-JP"/>
        </w:rPr>
        <w:t xml:space="preserve"> del </w:t>
      </w:r>
      <w:r w:rsidR="0003575C" w:rsidRPr="00B67FEC">
        <w:rPr>
          <w:rFonts w:eastAsia="MS Mincho" w:cs="Calibri"/>
          <w:szCs w:val="20"/>
          <w:lang w:eastAsia="ja-JP"/>
        </w:rPr>
        <w:t>8</w:t>
      </w:r>
      <w:r w:rsidR="001575F7" w:rsidRPr="00B67FEC">
        <w:rPr>
          <w:rFonts w:eastAsia="MS Mincho" w:cs="Calibri"/>
          <w:szCs w:val="20"/>
          <w:lang w:eastAsia="ja-JP"/>
        </w:rPr>
        <w:t>/</w:t>
      </w:r>
      <w:r w:rsidR="0003575C" w:rsidRPr="00B67FEC">
        <w:rPr>
          <w:rFonts w:eastAsia="MS Mincho" w:cs="Calibri"/>
          <w:szCs w:val="20"/>
          <w:lang w:eastAsia="ja-JP"/>
        </w:rPr>
        <w:t>11</w:t>
      </w:r>
      <w:r w:rsidR="001575F7" w:rsidRPr="00B67FEC">
        <w:rPr>
          <w:rFonts w:eastAsia="MS Mincho" w:cs="Calibri"/>
          <w:szCs w:val="20"/>
          <w:lang w:eastAsia="ja-JP"/>
        </w:rPr>
        <w:t>/201</w:t>
      </w:r>
      <w:r w:rsidR="0003575C" w:rsidRPr="00B67FEC">
        <w:rPr>
          <w:rFonts w:eastAsia="MS Mincho" w:cs="Calibri"/>
          <w:szCs w:val="20"/>
          <w:lang w:eastAsia="ja-JP"/>
        </w:rPr>
        <w:t>7</w:t>
      </w:r>
      <w:r w:rsidR="001575F7" w:rsidRPr="00B67FEC">
        <w:rPr>
          <w:rFonts w:eastAsia="MS Mincho" w:cs="Calibri"/>
          <w:szCs w:val="20"/>
          <w:lang w:eastAsia="ja-JP"/>
        </w:rPr>
        <w:t xml:space="preserve"> </w:t>
      </w:r>
      <w:r w:rsidR="0003575C" w:rsidRPr="00B67FEC">
        <w:rPr>
          <w:rFonts w:eastAsia="MS Mincho" w:cs="Calibri"/>
          <w:szCs w:val="20"/>
          <w:lang w:eastAsia="ja-JP"/>
        </w:rPr>
        <w:t>“</w:t>
      </w:r>
      <w:r w:rsidR="0003575C" w:rsidRPr="00B67FEC">
        <w:rPr>
          <w:rFonts w:eastAsia="MS Mincho" w:cs="Calibri"/>
          <w:i/>
          <w:szCs w:val="20"/>
          <w:lang w:eastAsia="ja-JP"/>
        </w:rPr>
        <w:t xml:space="preserve">Nuove linee guida per l’attuazione della normativa in materia di prevenzione della corruzione e trasparenza da parte delle </w:t>
      </w:r>
      <w:r w:rsidR="00F902C5" w:rsidRPr="00B67FEC">
        <w:rPr>
          <w:rFonts w:eastAsia="MS Mincho" w:cs="Calibri"/>
          <w:i/>
          <w:szCs w:val="20"/>
          <w:lang w:eastAsia="ja-JP"/>
        </w:rPr>
        <w:t>Società</w:t>
      </w:r>
      <w:r w:rsidR="0003575C" w:rsidRPr="00B67FEC">
        <w:rPr>
          <w:rFonts w:eastAsia="MS Mincho" w:cs="Calibri"/>
          <w:i/>
          <w:szCs w:val="20"/>
          <w:lang w:eastAsia="ja-JP"/>
        </w:rPr>
        <w:t xml:space="preserve"> e degli enti di diritto privato controllati e partecipati dalle pubbliche amministrazioni e degli enti pubblici economici</w:t>
      </w:r>
      <w:r w:rsidRPr="00B67FEC">
        <w:rPr>
          <w:rFonts w:eastAsia="MS Mincho" w:cs="Calibri"/>
          <w:i/>
          <w:szCs w:val="20"/>
          <w:lang w:eastAsia="ja-JP"/>
        </w:rPr>
        <w:t>”.</w:t>
      </w:r>
    </w:p>
    <w:p w:rsidR="007C1A48" w:rsidRPr="00B67FEC" w:rsidRDefault="007C1A48" w:rsidP="0049154B">
      <w:pPr>
        <w:rPr>
          <w:rFonts w:eastAsia="MS Mincho" w:cs="Calibri"/>
          <w:szCs w:val="20"/>
          <w:lang w:eastAsia="ja-JP"/>
        </w:rPr>
      </w:pPr>
    </w:p>
    <w:p w:rsidR="008871F8" w:rsidRPr="00B67FEC" w:rsidRDefault="002021DD" w:rsidP="0049154B">
      <w:pPr>
        <w:rPr>
          <w:rFonts w:eastAsia="MS Mincho" w:cs="Calibri"/>
          <w:szCs w:val="20"/>
          <w:lang w:eastAsia="ja-JP"/>
        </w:rPr>
      </w:pPr>
      <w:r w:rsidRPr="00B67FEC">
        <w:rPr>
          <w:rFonts w:eastAsia="MS Mincho" w:cs="Calibri"/>
          <w:szCs w:val="20"/>
          <w:lang w:eastAsia="ja-JP"/>
        </w:rPr>
        <w:t xml:space="preserve">In particolare, si riporta integralmente quanto previsto in ordine alle Società in Controllo pubblico, come </w:t>
      </w:r>
      <w:r w:rsidR="008F710D" w:rsidRPr="00B67FEC">
        <w:rPr>
          <w:rFonts w:eastAsia="MS Mincho" w:cs="Calibri"/>
          <w:szCs w:val="20"/>
          <w:lang w:eastAsia="ja-JP"/>
        </w:rPr>
        <w:t>Segrate Sevizi Srl</w:t>
      </w:r>
      <w:r w:rsidRPr="00B67FEC">
        <w:rPr>
          <w:rFonts w:eastAsia="MS Mincho" w:cs="Calibri"/>
          <w:szCs w:val="20"/>
          <w:lang w:eastAsia="ja-JP"/>
        </w:rPr>
        <w:t>, dalla citata determinazione 1134/2017:</w:t>
      </w:r>
    </w:p>
    <w:p w:rsidR="008871F8" w:rsidRPr="00B67FEC" w:rsidRDefault="008871F8" w:rsidP="0049154B">
      <w:pPr>
        <w:rPr>
          <w:rFonts w:eastAsia="MS Mincho" w:cs="Calibri"/>
          <w:szCs w:val="20"/>
          <w:lang w:eastAsia="ja-JP"/>
        </w:rPr>
      </w:pPr>
    </w:p>
    <w:p w:rsidR="002021DD" w:rsidRPr="00B67FEC" w:rsidRDefault="002021DD" w:rsidP="002021DD">
      <w:pPr>
        <w:ind w:right="90"/>
        <w:contextualSpacing/>
        <w:rPr>
          <w:rFonts w:cs="Calibri"/>
          <w:b/>
          <w:i/>
        </w:rPr>
      </w:pPr>
      <w:r w:rsidRPr="00B67FEC">
        <w:rPr>
          <w:rFonts w:cs="Calibri"/>
          <w:b/>
          <w:i/>
        </w:rPr>
        <w:t>3.</w:t>
      </w:r>
      <w:r w:rsidRPr="00B67FEC">
        <w:rPr>
          <w:rFonts w:cs="Calibri"/>
          <w:b/>
          <w:i/>
        </w:rPr>
        <w:tab/>
        <w:t xml:space="preserve">LA NUOVA DISCIPLINA PER CATEGORIE </w:t>
      </w:r>
      <w:proofErr w:type="spellStart"/>
      <w:r w:rsidRPr="00B67FEC">
        <w:rPr>
          <w:rFonts w:cs="Calibri"/>
          <w:b/>
          <w:i/>
        </w:rPr>
        <w:t>DI</w:t>
      </w:r>
      <w:proofErr w:type="spellEnd"/>
      <w:r w:rsidRPr="00B67FEC">
        <w:rPr>
          <w:rFonts w:cs="Calibri"/>
          <w:b/>
          <w:i/>
        </w:rPr>
        <w:t xml:space="preserve"> SOGGETTI</w:t>
      </w:r>
    </w:p>
    <w:p w:rsidR="002021DD" w:rsidRPr="00B67FEC" w:rsidRDefault="002021DD" w:rsidP="002021DD">
      <w:pPr>
        <w:ind w:right="90"/>
        <w:contextualSpacing/>
        <w:rPr>
          <w:rFonts w:cs="Calibri"/>
          <w:b/>
          <w:i/>
        </w:rPr>
      </w:pPr>
      <w:r w:rsidRPr="00B67FEC">
        <w:rPr>
          <w:rFonts w:cs="Calibri"/>
          <w:b/>
          <w:i/>
        </w:rPr>
        <w:t>3.1.</w:t>
      </w:r>
      <w:r w:rsidRPr="00B67FEC">
        <w:rPr>
          <w:rFonts w:cs="Calibri"/>
          <w:b/>
          <w:i/>
        </w:rPr>
        <w:tab/>
        <w:t xml:space="preserve">Le </w:t>
      </w:r>
      <w:r w:rsidR="00F902C5" w:rsidRPr="00B67FEC">
        <w:rPr>
          <w:rFonts w:cs="Calibri"/>
          <w:b/>
          <w:i/>
        </w:rPr>
        <w:t>Società</w:t>
      </w:r>
      <w:r w:rsidRPr="00B67FEC">
        <w:rPr>
          <w:rFonts w:cs="Calibri"/>
          <w:b/>
          <w:i/>
        </w:rPr>
        <w:t xml:space="preserve"> in controllo pubblico</w:t>
      </w:r>
    </w:p>
    <w:p w:rsidR="002021DD" w:rsidRPr="00B67FEC" w:rsidRDefault="002021DD" w:rsidP="002021DD">
      <w:pPr>
        <w:ind w:right="90"/>
        <w:contextualSpacing/>
        <w:rPr>
          <w:rFonts w:cs="Calibri"/>
          <w:b/>
          <w:i/>
        </w:rPr>
      </w:pPr>
      <w:r w:rsidRPr="00B67FEC">
        <w:rPr>
          <w:rFonts w:cs="Calibri"/>
          <w:b/>
          <w:i/>
        </w:rPr>
        <w:t>3.1.1.</w:t>
      </w:r>
      <w:r w:rsidRPr="00B67FEC">
        <w:rPr>
          <w:rFonts w:cs="Calibri"/>
          <w:b/>
          <w:i/>
        </w:rPr>
        <w:tab/>
        <w:t xml:space="preserve">Le misure organizzative per la prevenzione della corruzione </w:t>
      </w:r>
    </w:p>
    <w:p w:rsidR="002021DD" w:rsidRPr="00B67FEC" w:rsidRDefault="002021DD" w:rsidP="002021DD">
      <w:pPr>
        <w:rPr>
          <w:rFonts w:cs="Calibri"/>
          <w:i/>
        </w:rPr>
      </w:pPr>
      <w:r w:rsidRPr="00B67FEC">
        <w:rPr>
          <w:rFonts w:cs="Calibri"/>
          <w:i/>
        </w:rPr>
        <w:t xml:space="preserve">In una logica di coordinamento delle misure e di semplificazione degli adempimenti, le </w:t>
      </w:r>
      <w:r w:rsidR="00F902C5" w:rsidRPr="00B67FEC">
        <w:rPr>
          <w:rFonts w:cs="Calibri"/>
          <w:i/>
        </w:rPr>
        <w:t>Società</w:t>
      </w:r>
      <w:r w:rsidRPr="00B67FEC">
        <w:rPr>
          <w:rFonts w:cs="Calibri"/>
          <w:i/>
        </w:rPr>
        <w:t xml:space="preserve"> integrano, ove adottato, il “modello 231” con misure idonee a prevenire anche i fenomeni di corruzione e di illegalità in coerenza con le finalità della legge n. 190 del 2012. </w:t>
      </w:r>
    </w:p>
    <w:p w:rsidR="002021DD" w:rsidRPr="00B67FEC" w:rsidRDefault="002021DD" w:rsidP="002021DD">
      <w:pPr>
        <w:rPr>
          <w:rFonts w:cs="Calibri"/>
          <w:i/>
        </w:rPr>
      </w:pPr>
      <w:r w:rsidRPr="00B67FEC">
        <w:rPr>
          <w:rFonts w:cs="Calibri"/>
          <w:i/>
        </w:rPr>
        <w:t xml:space="preserve">In particolare, quanto alla tipologia dei reati da prevenire, il d.lgs. n. 231 del 2001 ha riguardo ai reati commessi nell’interesse o a vantaggio della </w:t>
      </w:r>
      <w:r w:rsidR="00F902C5" w:rsidRPr="00B67FEC">
        <w:rPr>
          <w:rFonts w:cs="Calibri"/>
          <w:i/>
        </w:rPr>
        <w:t>Società</w:t>
      </w:r>
      <w:r w:rsidRPr="00B67FEC">
        <w:rPr>
          <w:rFonts w:cs="Calibri"/>
          <w:i/>
        </w:rPr>
        <w:t xml:space="preserve"> o che comunque siano stati commessi anche e nell’interesse di questa (art. 5), diversamente dalla legge 190 che è volta a. prevenire anche reati commessi in danno della </w:t>
      </w:r>
      <w:r w:rsidR="00F902C5" w:rsidRPr="00B67FEC">
        <w:rPr>
          <w:rFonts w:cs="Calibri"/>
          <w:i/>
        </w:rPr>
        <w:t>Società</w:t>
      </w:r>
    </w:p>
    <w:p w:rsidR="002021DD" w:rsidRPr="00B67FEC" w:rsidRDefault="002021DD" w:rsidP="002021DD">
      <w:pPr>
        <w:rPr>
          <w:rFonts w:cs="Calibri"/>
          <w:i/>
        </w:rPr>
      </w:pPr>
      <w:r w:rsidRPr="00B67FEC">
        <w:rPr>
          <w:rFonts w:cs="Calibri"/>
          <w:i/>
        </w:rPr>
        <w:t xml:space="preserve">Nella programmazione delle misure occorre ribadire che gli obiettivi organizzativi e individuali ad esse collegati assumono rilevanza strategica ai fini della prevenzione della corruzione e vanno pertanto integrati e coordinati con tutti gli altri strumenti di programmazione e valutazione all’interno della </w:t>
      </w:r>
      <w:r w:rsidR="00F902C5" w:rsidRPr="00B67FEC">
        <w:rPr>
          <w:rFonts w:cs="Calibri"/>
          <w:i/>
        </w:rPr>
        <w:t>Società</w:t>
      </w:r>
      <w:r w:rsidRPr="00B67FEC">
        <w:rPr>
          <w:rFonts w:cs="Calibri"/>
          <w:i/>
        </w:rPr>
        <w:t xml:space="preserve"> o dell’ente. </w:t>
      </w:r>
    </w:p>
    <w:p w:rsidR="002021DD" w:rsidRPr="00B67FEC" w:rsidRDefault="002021DD" w:rsidP="002021DD">
      <w:pPr>
        <w:rPr>
          <w:rFonts w:cs="Calibri"/>
          <w:i/>
        </w:rPr>
      </w:pPr>
      <w:r w:rsidRPr="00B67FEC">
        <w:rPr>
          <w:rFonts w:cs="Calibri"/>
          <w:i/>
        </w:rPr>
        <w:t xml:space="preserve">Queste misure devono fare riferimento a tutte le attività svolte ed è necessario siano ricondotte in un documento unitario che tiene luogo del Piano di prevenzione della corruzione anche ai fini della valutazione dell’aggiornamento annuale e della vigilanza dell’ANAC. </w:t>
      </w:r>
    </w:p>
    <w:p w:rsidR="002021DD" w:rsidRPr="00B67FEC" w:rsidRDefault="002021DD" w:rsidP="002021DD">
      <w:pPr>
        <w:rPr>
          <w:rFonts w:cs="Calibri"/>
          <w:i/>
        </w:rPr>
      </w:pPr>
      <w:r w:rsidRPr="00B67FEC">
        <w:rPr>
          <w:rFonts w:cs="Calibri"/>
          <w:i/>
        </w:rPr>
        <w:t xml:space="preserve">Se riunite in un unico documento con quelle adottate in attuazione del d.lgs. n. 231/2001, dette misure sono collocate in una sezione apposita e dunque chiaramente identificabili, tenuto conto che ad esse sono correlate forme di gestione e responsabilità differenti. </w:t>
      </w:r>
    </w:p>
    <w:p w:rsidR="002021DD" w:rsidRPr="00B67FEC" w:rsidRDefault="002021DD" w:rsidP="002021DD">
      <w:pPr>
        <w:rPr>
          <w:rFonts w:cs="Calibri"/>
          <w:i/>
        </w:rPr>
      </w:pPr>
      <w:r w:rsidRPr="00B67FEC">
        <w:rPr>
          <w:rFonts w:cs="Calibri"/>
          <w:i/>
        </w:rPr>
        <w:t xml:space="preserve">È opportuno che tali misure esse siano costantemente monitorate anche al fine di valutare, almeno annualmente, la necessità del loro aggiornamento.  </w:t>
      </w:r>
    </w:p>
    <w:p w:rsidR="002021DD" w:rsidRPr="00B67FEC" w:rsidRDefault="002021DD" w:rsidP="002021DD">
      <w:pPr>
        <w:rPr>
          <w:rFonts w:cs="Calibri"/>
          <w:i/>
        </w:rPr>
      </w:pPr>
      <w:r w:rsidRPr="00B67FEC">
        <w:rPr>
          <w:rFonts w:cs="Calibri"/>
          <w:i/>
        </w:rPr>
        <w:t xml:space="preserve">Il </w:t>
      </w:r>
      <w:proofErr w:type="spellStart"/>
      <w:r w:rsidRPr="00B67FEC">
        <w:rPr>
          <w:rFonts w:cs="Calibri"/>
          <w:i/>
        </w:rPr>
        <w:t>co</w:t>
      </w:r>
      <w:proofErr w:type="spellEnd"/>
      <w:r w:rsidRPr="00B67FEC">
        <w:rPr>
          <w:rFonts w:cs="Calibri"/>
          <w:i/>
        </w:rPr>
        <w:t xml:space="preserve">. 2-bis dell’art. 1 della l. 190/2012, introdotto dal d.lgs. 97/2016, ha reso obbligatoria l’adozione delle misure integrative del “modello 231”, ma non ha reso obbligatoria l’adozione del modello medesimo, a pena di una alterazione dell’impostazione stessa del decreto n. 231 del 2001. </w:t>
      </w:r>
    </w:p>
    <w:p w:rsidR="002021DD" w:rsidRPr="00B67FEC" w:rsidRDefault="002021DD" w:rsidP="002021DD">
      <w:pPr>
        <w:rPr>
          <w:rFonts w:cs="Calibri"/>
          <w:i/>
        </w:rPr>
      </w:pPr>
      <w:r w:rsidRPr="00B67FEC">
        <w:rPr>
          <w:rFonts w:cs="Calibri"/>
          <w:i/>
        </w:rPr>
        <w:lastRenderedPageBreak/>
        <w:t xml:space="preserve">Tale adozione, ove le </w:t>
      </w:r>
      <w:r w:rsidR="00F902C5" w:rsidRPr="00B67FEC">
        <w:rPr>
          <w:rFonts w:cs="Calibri"/>
          <w:i/>
        </w:rPr>
        <w:t>Società</w:t>
      </w:r>
      <w:r w:rsidRPr="00B67FEC">
        <w:rPr>
          <w:rFonts w:cs="Calibri"/>
          <w:i/>
        </w:rPr>
        <w:t xml:space="preserve"> non vi abbiano già provveduto, è, però, fortemente raccomandata, almeno contestualmente alle misure integrative anticorruzione. </w:t>
      </w:r>
    </w:p>
    <w:p w:rsidR="002021DD" w:rsidRPr="00B67FEC" w:rsidRDefault="002021DD" w:rsidP="002021DD">
      <w:pPr>
        <w:rPr>
          <w:rFonts w:cs="Calibri"/>
          <w:i/>
        </w:rPr>
      </w:pPr>
      <w:r w:rsidRPr="00B67FEC">
        <w:rPr>
          <w:rFonts w:cs="Calibri"/>
          <w:i/>
        </w:rPr>
        <w:t xml:space="preserve">Le </w:t>
      </w:r>
      <w:r w:rsidR="00F902C5" w:rsidRPr="00B67FEC">
        <w:rPr>
          <w:rFonts w:cs="Calibri"/>
          <w:i/>
        </w:rPr>
        <w:t>Società</w:t>
      </w:r>
      <w:r w:rsidRPr="00B67FEC">
        <w:rPr>
          <w:rFonts w:cs="Calibri"/>
          <w:i/>
        </w:rPr>
        <w:t xml:space="preserve"> che decidano di non adottare il “modello 231” e il limitarsi all’adozione del documento contenente le misure anticorruzione dovranno motivare tale decisione.  </w:t>
      </w:r>
    </w:p>
    <w:p w:rsidR="002021DD" w:rsidRPr="00B67FEC" w:rsidRDefault="002021DD" w:rsidP="002021DD">
      <w:pPr>
        <w:rPr>
          <w:rFonts w:cs="Calibri"/>
          <w:i/>
        </w:rPr>
      </w:pPr>
      <w:r w:rsidRPr="00B67FEC">
        <w:rPr>
          <w:rFonts w:cs="Calibri"/>
          <w:i/>
        </w:rPr>
        <w:t>L’ANAC, in sede di vigilanza, verificherà quindi l’adozione e la qualità delle misure di prevenzione della corruzione</w:t>
      </w:r>
      <w:r w:rsidR="008F710D" w:rsidRPr="00B67FEC">
        <w:rPr>
          <w:rFonts w:cs="Calibri"/>
          <w:i/>
        </w:rPr>
        <w:t>.</w:t>
      </w:r>
    </w:p>
    <w:p w:rsidR="002021DD" w:rsidRPr="00B67FEC" w:rsidRDefault="002021DD" w:rsidP="002021DD">
      <w:pPr>
        <w:rPr>
          <w:rFonts w:cs="Calibri"/>
          <w:i/>
        </w:rPr>
      </w:pPr>
      <w:r w:rsidRPr="00B67FEC">
        <w:rPr>
          <w:rFonts w:cs="Calibri"/>
          <w:i/>
        </w:rPr>
        <w:t xml:space="preserve">Le </w:t>
      </w:r>
      <w:r w:rsidR="00F902C5" w:rsidRPr="00B67FEC">
        <w:rPr>
          <w:rFonts w:cs="Calibri"/>
          <w:i/>
        </w:rPr>
        <w:t>Società</w:t>
      </w:r>
      <w:r w:rsidRPr="00B67FEC">
        <w:rPr>
          <w:rFonts w:cs="Calibri"/>
          <w:i/>
        </w:rPr>
        <w:t>, che abbiano o meno adottato il “modello 231”, definiscono le misure per la prevenzion</w:t>
      </w:r>
      <w:r w:rsidR="008F710D" w:rsidRPr="00B67FEC">
        <w:rPr>
          <w:rFonts w:cs="Calibri"/>
          <w:i/>
        </w:rPr>
        <w:t>e della corruzione</w:t>
      </w:r>
      <w:r w:rsidRPr="00B67FEC">
        <w:rPr>
          <w:rFonts w:cs="Calibri"/>
          <w:i/>
        </w:rPr>
        <w:t xml:space="preserve"> in relazione alle funzioni sv</w:t>
      </w:r>
      <w:r w:rsidR="008F710D" w:rsidRPr="00B67FEC">
        <w:rPr>
          <w:rFonts w:cs="Calibri"/>
          <w:i/>
        </w:rPr>
        <w:t>olte e alla propria specificità organizzativa</w:t>
      </w:r>
    </w:p>
    <w:p w:rsidR="002021DD" w:rsidRPr="00B67FEC" w:rsidRDefault="002021DD" w:rsidP="002021DD">
      <w:pPr>
        <w:rPr>
          <w:rFonts w:cs="Calibri"/>
          <w:b/>
          <w:i/>
        </w:rPr>
      </w:pPr>
      <w:r w:rsidRPr="00B67FEC">
        <w:rPr>
          <w:rFonts w:cs="Calibri"/>
          <w:b/>
          <w:i/>
        </w:rPr>
        <w:t>Programmazione delle misure e soggetti coinvolti</w:t>
      </w:r>
    </w:p>
    <w:p w:rsidR="002021DD" w:rsidRPr="00B67FEC" w:rsidRDefault="002021DD" w:rsidP="002021DD">
      <w:pPr>
        <w:rPr>
          <w:rFonts w:cs="Calibri"/>
          <w:i/>
        </w:rPr>
      </w:pPr>
      <w:r w:rsidRPr="00B67FEC">
        <w:rPr>
          <w:rFonts w:cs="Calibri"/>
          <w:i/>
        </w:rPr>
        <w:t xml:space="preserve">Le misure volte alla prevenzione della corruzione ex </w:t>
      </w:r>
      <w:proofErr w:type="spellStart"/>
      <w:r w:rsidRPr="00B67FEC">
        <w:rPr>
          <w:rFonts w:cs="Calibri"/>
          <w:i/>
        </w:rPr>
        <w:t>lege</w:t>
      </w:r>
      <w:proofErr w:type="spellEnd"/>
      <w:r w:rsidRPr="00B67FEC">
        <w:rPr>
          <w:rFonts w:cs="Calibri"/>
          <w:i/>
        </w:rPr>
        <w:t xml:space="preserve"> n.190 del 2012 sono elaborate dal Responsabile della prevenzione della corruzione in stretto coordinamento con l’Organismo di vigilanza e sono adottate dall’organo di indirizzo della </w:t>
      </w:r>
      <w:r w:rsidR="00F902C5" w:rsidRPr="00B67FEC">
        <w:rPr>
          <w:rFonts w:cs="Calibri"/>
          <w:i/>
        </w:rPr>
        <w:t>Società</w:t>
      </w:r>
      <w:r w:rsidRPr="00B67FEC">
        <w:rPr>
          <w:rFonts w:cs="Calibri"/>
          <w:i/>
        </w:rPr>
        <w:t>, individuato nel consiglio di amministrazione o in altro organo con funzioni equivalenti.</w:t>
      </w:r>
    </w:p>
    <w:p w:rsidR="008F710D" w:rsidRPr="00CF0A5C" w:rsidRDefault="008F710D" w:rsidP="008F710D">
      <w:pPr>
        <w:autoSpaceDE w:val="0"/>
        <w:autoSpaceDN w:val="0"/>
        <w:adjustRightInd w:val="0"/>
        <w:rPr>
          <w:rFonts w:eastAsia="MS Mincho" w:cs="Calibri"/>
          <w:b/>
          <w:i/>
          <w:szCs w:val="20"/>
          <w:lang w:eastAsia="ja-JP"/>
        </w:rPr>
      </w:pPr>
      <w:r w:rsidRPr="00CF0A5C">
        <w:rPr>
          <w:rFonts w:eastAsia="MS Mincho" w:cs="Calibri"/>
          <w:b/>
          <w:i/>
          <w:szCs w:val="20"/>
          <w:lang w:eastAsia="ja-JP"/>
        </w:rPr>
        <w:t>Pubblicità delle misure</w:t>
      </w:r>
    </w:p>
    <w:p w:rsidR="008F710D" w:rsidRDefault="008F710D" w:rsidP="008F710D">
      <w:pPr>
        <w:autoSpaceDE w:val="0"/>
        <w:autoSpaceDN w:val="0"/>
        <w:adjustRightInd w:val="0"/>
        <w:rPr>
          <w:rFonts w:eastAsia="MS Mincho" w:cs="Calibri"/>
          <w:i/>
          <w:szCs w:val="20"/>
          <w:lang w:eastAsia="ja-JP"/>
        </w:rPr>
      </w:pPr>
      <w:r w:rsidRPr="00CF0A5C">
        <w:rPr>
          <w:rFonts w:eastAsia="MS Mincho" w:cs="Calibri"/>
          <w:i/>
          <w:szCs w:val="20"/>
          <w:lang w:eastAsia="ja-JP"/>
        </w:rPr>
        <w:t xml:space="preserve">Una volta adottate le misure, ad esse viene data adeguata pubblicità sia all’interno della </w:t>
      </w:r>
      <w:r w:rsidR="00F902C5">
        <w:rPr>
          <w:rFonts w:eastAsia="MS Mincho" w:cs="Calibri"/>
          <w:i/>
          <w:szCs w:val="20"/>
          <w:lang w:eastAsia="ja-JP"/>
        </w:rPr>
        <w:t>Società</w:t>
      </w:r>
      <w:r w:rsidRPr="00CF0A5C">
        <w:rPr>
          <w:rFonts w:eastAsia="MS Mincho" w:cs="Calibri"/>
          <w:i/>
          <w:szCs w:val="20"/>
          <w:lang w:eastAsia="ja-JP"/>
        </w:rPr>
        <w:t xml:space="preserve">, con modalità che ogni </w:t>
      </w:r>
      <w:r w:rsidR="00F902C5">
        <w:rPr>
          <w:rFonts w:eastAsia="MS Mincho" w:cs="Calibri"/>
          <w:i/>
          <w:szCs w:val="20"/>
          <w:lang w:eastAsia="ja-JP"/>
        </w:rPr>
        <w:t>Società</w:t>
      </w:r>
      <w:r w:rsidRPr="00CF0A5C">
        <w:rPr>
          <w:rFonts w:eastAsia="MS Mincho" w:cs="Calibri"/>
          <w:i/>
          <w:szCs w:val="20"/>
          <w:lang w:eastAsia="ja-JP"/>
        </w:rPr>
        <w:t xml:space="preserve"> definisce autonomamente, sia all’esterno, con la pubblicazione sul sito web della </w:t>
      </w:r>
      <w:r w:rsidR="00F902C5">
        <w:rPr>
          <w:rFonts w:eastAsia="MS Mincho" w:cs="Calibri"/>
          <w:i/>
          <w:szCs w:val="20"/>
          <w:lang w:eastAsia="ja-JP"/>
        </w:rPr>
        <w:t>Società</w:t>
      </w:r>
      <w:r w:rsidRPr="00CF0A5C">
        <w:rPr>
          <w:rFonts w:eastAsia="MS Mincho" w:cs="Calibri"/>
          <w:i/>
          <w:szCs w:val="20"/>
          <w:lang w:eastAsia="ja-JP"/>
        </w:rPr>
        <w:t>.</w:t>
      </w:r>
    </w:p>
    <w:p w:rsidR="00F21B61" w:rsidRDefault="00F21B61" w:rsidP="008F710D">
      <w:pPr>
        <w:autoSpaceDE w:val="0"/>
        <w:autoSpaceDN w:val="0"/>
        <w:adjustRightInd w:val="0"/>
        <w:rPr>
          <w:rFonts w:eastAsia="MS Mincho" w:cs="Calibri"/>
          <w:i/>
          <w:szCs w:val="20"/>
          <w:lang w:eastAsia="ja-JP"/>
        </w:rPr>
      </w:pPr>
    </w:p>
    <w:p w:rsidR="00F21B61" w:rsidRPr="00F27ED9" w:rsidRDefault="00F21B61" w:rsidP="008E2618">
      <w:pPr>
        <w:pStyle w:val="Titolo3"/>
      </w:pPr>
      <w:bookmarkStart w:id="4" w:name="_Toc101601997"/>
      <w:r w:rsidRPr="00F27ED9">
        <w:t xml:space="preserve">L’integrazione con il </w:t>
      </w:r>
      <w:r>
        <w:t>D</w:t>
      </w:r>
      <w:r w:rsidRPr="00F27ED9">
        <w:t>.lgs. 231/2001</w:t>
      </w:r>
      <w:bookmarkEnd w:id="4"/>
    </w:p>
    <w:p w:rsidR="00F21B61" w:rsidRPr="00F27ED9" w:rsidRDefault="00F21B61" w:rsidP="00F21B61">
      <w:pPr>
        <w:rPr>
          <w:rFonts w:eastAsia="MS Mincho"/>
          <w:szCs w:val="20"/>
          <w:lang w:eastAsia="ja-JP"/>
        </w:rPr>
      </w:pPr>
      <w:r w:rsidRPr="00F27ED9">
        <w:rPr>
          <w:rFonts w:eastAsia="MS Mincho"/>
          <w:szCs w:val="20"/>
          <w:lang w:eastAsia="ja-JP"/>
        </w:rPr>
        <w:t>Il tema della corruzione non è peralt</w:t>
      </w:r>
      <w:r>
        <w:rPr>
          <w:rFonts w:eastAsia="MS Mincho"/>
          <w:szCs w:val="20"/>
          <w:lang w:eastAsia="ja-JP"/>
        </w:rPr>
        <w:t xml:space="preserve">ro nuovo a </w:t>
      </w:r>
      <w:r w:rsidR="00EC0950">
        <w:rPr>
          <w:rFonts w:eastAsia="MS Mincho"/>
          <w:szCs w:val="20"/>
          <w:lang w:eastAsia="ja-JP"/>
        </w:rPr>
        <w:t>Segrate Servizi Srl</w:t>
      </w:r>
      <w:r>
        <w:rPr>
          <w:rFonts w:eastAsia="MS Mincho"/>
          <w:szCs w:val="20"/>
          <w:lang w:eastAsia="ja-JP"/>
        </w:rPr>
        <w:t xml:space="preserve"> </w:t>
      </w:r>
      <w:proofErr w:type="spellStart"/>
      <w:r>
        <w:rPr>
          <w:rFonts w:eastAsia="MS Mincho"/>
          <w:szCs w:val="20"/>
          <w:lang w:eastAsia="ja-JP"/>
        </w:rPr>
        <w:t>Srl</w:t>
      </w:r>
      <w:proofErr w:type="spellEnd"/>
      <w:r>
        <w:rPr>
          <w:rFonts w:eastAsia="MS Mincho"/>
          <w:szCs w:val="20"/>
          <w:lang w:eastAsia="ja-JP"/>
        </w:rPr>
        <w:t xml:space="preserve"> </w:t>
      </w:r>
      <w:r w:rsidRPr="00F27ED9">
        <w:rPr>
          <w:rFonts w:eastAsia="MS Mincho"/>
          <w:szCs w:val="20"/>
          <w:lang w:eastAsia="ja-JP"/>
        </w:rPr>
        <w:t>che si è dotata di un “Modello di organizzazione, gestione e controllo” ai sensi del D.lgs. 231/2001, basato su un’accurata analisi dei rischi di reato su tutti i processi e le attività aziendali, nonché di un Organismo di Vigilanza che opera in sinergia sul controllo della corretta applicazione del modello organizzativo e dei codici applicativi ad esso collegati, quale il Codice Etico, approvato</w:t>
      </w:r>
      <w:r w:rsidRPr="00F21B61">
        <w:rPr>
          <w:rFonts w:eastAsia="MS Mincho"/>
          <w:szCs w:val="20"/>
          <w:lang w:eastAsia="ja-JP"/>
        </w:rPr>
        <w:t xml:space="preserve">  dall’Assemblea dei Soci in data 30/06/2016</w:t>
      </w:r>
      <w:r>
        <w:rPr>
          <w:rFonts w:eastAsia="MS Mincho"/>
          <w:szCs w:val="20"/>
          <w:lang w:eastAsia="ja-JP"/>
        </w:rPr>
        <w:t>.</w:t>
      </w:r>
      <w:r w:rsidRPr="00F21B61">
        <w:rPr>
          <w:rFonts w:eastAsia="MS Mincho"/>
          <w:szCs w:val="20"/>
          <w:lang w:eastAsia="ja-JP"/>
        </w:rPr>
        <w:t xml:space="preserve">  </w:t>
      </w:r>
    </w:p>
    <w:p w:rsidR="00F21B61" w:rsidRPr="00F27ED9" w:rsidRDefault="00F21B61" w:rsidP="00F21B61">
      <w:pPr>
        <w:rPr>
          <w:rFonts w:eastAsia="MS Mincho"/>
          <w:szCs w:val="20"/>
          <w:lang w:eastAsia="ja-JP"/>
        </w:rPr>
      </w:pPr>
      <w:r w:rsidRPr="00F27ED9">
        <w:rPr>
          <w:rFonts w:eastAsia="MS Mincho"/>
          <w:szCs w:val="20"/>
          <w:lang w:eastAsia="ja-JP"/>
        </w:rPr>
        <w:t xml:space="preserve">Anche i Regolamenti e le procedure presenti in </w:t>
      </w:r>
      <w:r w:rsidR="00EC0950">
        <w:rPr>
          <w:rFonts w:eastAsia="MS Mincho"/>
          <w:szCs w:val="20"/>
          <w:lang w:eastAsia="ja-JP"/>
        </w:rPr>
        <w:t>Segrate Servizi Srl</w:t>
      </w:r>
      <w:r w:rsidRPr="00F27ED9">
        <w:rPr>
          <w:rFonts w:eastAsia="MS Mincho"/>
          <w:szCs w:val="20"/>
          <w:lang w:eastAsia="ja-JP"/>
        </w:rPr>
        <w:t xml:space="preserve"> sono </w:t>
      </w:r>
      <w:r w:rsidR="00D857F5">
        <w:rPr>
          <w:rFonts w:eastAsia="MS Mincho"/>
          <w:szCs w:val="20"/>
          <w:lang w:eastAsia="ja-JP"/>
        </w:rPr>
        <w:t>in fase di</w:t>
      </w:r>
      <w:r w:rsidRPr="00F27ED9">
        <w:rPr>
          <w:rFonts w:eastAsia="MS Mincho"/>
          <w:szCs w:val="20"/>
          <w:lang w:eastAsia="ja-JP"/>
        </w:rPr>
        <w:t xml:space="preserve"> </w:t>
      </w:r>
      <w:r w:rsidR="00D857F5">
        <w:rPr>
          <w:rFonts w:eastAsia="MS Mincho"/>
          <w:szCs w:val="20"/>
          <w:lang w:eastAsia="ja-JP"/>
        </w:rPr>
        <w:t>revisione</w:t>
      </w:r>
      <w:r w:rsidRPr="00F27ED9">
        <w:rPr>
          <w:rFonts w:eastAsia="MS Mincho"/>
          <w:szCs w:val="20"/>
          <w:lang w:eastAsia="ja-JP"/>
        </w:rPr>
        <w:t xml:space="preserve"> al fine di introdurre e/o migliorare i controlli utili a prevenire comportamenti che potessero far incorrere nei “reati presupposto” presenti nel D.lgs. 231/2001.</w:t>
      </w:r>
    </w:p>
    <w:p w:rsidR="00F21B61" w:rsidRPr="00F27ED9" w:rsidRDefault="00F21B61" w:rsidP="00F21B61">
      <w:pPr>
        <w:rPr>
          <w:rFonts w:eastAsia="MS Mincho"/>
          <w:szCs w:val="20"/>
          <w:lang w:eastAsia="ja-JP"/>
        </w:rPr>
      </w:pPr>
    </w:p>
    <w:p w:rsidR="00F21B61" w:rsidRPr="00F27ED9" w:rsidRDefault="00F21B61" w:rsidP="00F21B61">
      <w:pPr>
        <w:rPr>
          <w:rFonts w:eastAsia="MS Mincho"/>
          <w:szCs w:val="20"/>
          <w:lang w:eastAsia="ja-JP"/>
        </w:rPr>
      </w:pPr>
      <w:r w:rsidRPr="00F27ED9">
        <w:rPr>
          <w:rFonts w:eastAsia="MS Mincho"/>
          <w:szCs w:val="20"/>
          <w:lang w:eastAsia="ja-JP"/>
        </w:rPr>
        <w:t>Nella logica di coordinamento delle misure e di semplificazione degli adempimenti</w:t>
      </w:r>
      <w:r>
        <w:rPr>
          <w:rFonts w:eastAsia="MS Mincho"/>
          <w:szCs w:val="20"/>
          <w:lang w:eastAsia="ja-JP"/>
        </w:rPr>
        <w:t xml:space="preserve">, </w:t>
      </w:r>
      <w:r w:rsidR="00EC0950">
        <w:rPr>
          <w:rFonts w:eastAsia="MS Mincho"/>
          <w:szCs w:val="20"/>
          <w:lang w:eastAsia="ja-JP"/>
        </w:rPr>
        <w:t>Segrate Servizi Srl</w:t>
      </w:r>
      <w:r w:rsidRPr="00F27ED9">
        <w:rPr>
          <w:rFonts w:eastAsia="MS Mincho"/>
          <w:szCs w:val="20"/>
          <w:lang w:eastAsia="ja-JP"/>
        </w:rPr>
        <w:t xml:space="preserve"> integra il modello di organizzazione e gestione ex d.lgs. n.231 del 2001 con misure idonee a prevenire anche i fenomeni di corruzione e di illegalità in coerenza con le finalità della legge n. 190 del 2012.</w:t>
      </w:r>
    </w:p>
    <w:p w:rsidR="00F21B61" w:rsidRPr="00F27ED9" w:rsidRDefault="00F21B61" w:rsidP="00F21B61">
      <w:pPr>
        <w:rPr>
          <w:rFonts w:eastAsia="MS Mincho"/>
          <w:szCs w:val="20"/>
          <w:lang w:eastAsia="ja-JP"/>
        </w:rPr>
      </w:pPr>
      <w:r w:rsidRPr="00F27ED9">
        <w:rPr>
          <w:rFonts w:eastAsia="MS Mincho"/>
          <w:szCs w:val="20"/>
          <w:lang w:eastAsia="ja-JP"/>
        </w:rPr>
        <w:t xml:space="preserve"> </w:t>
      </w:r>
    </w:p>
    <w:p w:rsidR="00F21B61" w:rsidRPr="00F27ED9" w:rsidRDefault="00F21B61" w:rsidP="00F21B61">
      <w:pPr>
        <w:rPr>
          <w:rFonts w:eastAsia="MS Mincho"/>
          <w:szCs w:val="20"/>
          <w:lang w:eastAsia="ja-JP"/>
        </w:rPr>
      </w:pPr>
      <w:r w:rsidRPr="00F27ED9">
        <w:rPr>
          <w:rFonts w:eastAsia="MS Mincho"/>
          <w:szCs w:val="20"/>
          <w:lang w:eastAsia="ja-JP"/>
        </w:rPr>
        <w:t xml:space="preserve">Tali misure fanno riferimento a tutte le attività svolte </w:t>
      </w:r>
      <w:r>
        <w:rPr>
          <w:rFonts w:eastAsia="MS Mincho"/>
          <w:szCs w:val="20"/>
          <w:lang w:eastAsia="ja-JP"/>
        </w:rPr>
        <w:t xml:space="preserve">dalla Società </w:t>
      </w:r>
      <w:r w:rsidRPr="00F27ED9">
        <w:rPr>
          <w:rFonts w:eastAsia="MS Mincho"/>
          <w:szCs w:val="20"/>
          <w:lang w:eastAsia="ja-JP"/>
        </w:rPr>
        <w:t>e si intendono complementari al “Modello di organizzazione, gestione e controllo” ai sensi del D.lgs. 231/2001, che diventa parte integrante del Piano di prevenzione della corruzione anche ai fini della valutazione dell’aggiornamento annuale e della vigilanza dell’</w:t>
      </w:r>
      <w:proofErr w:type="spellStart"/>
      <w:r w:rsidRPr="00F27ED9">
        <w:rPr>
          <w:rFonts w:eastAsia="MS Mincho"/>
          <w:szCs w:val="20"/>
          <w:lang w:eastAsia="ja-JP"/>
        </w:rPr>
        <w:t>A.N.AC.</w:t>
      </w:r>
      <w:proofErr w:type="spellEnd"/>
    </w:p>
    <w:p w:rsidR="00F21B61" w:rsidRPr="00F27ED9" w:rsidRDefault="00F21B61" w:rsidP="00F21B61">
      <w:pPr>
        <w:rPr>
          <w:rFonts w:eastAsia="MS Mincho"/>
          <w:szCs w:val="20"/>
          <w:lang w:eastAsia="ja-JP"/>
        </w:rPr>
      </w:pPr>
    </w:p>
    <w:p w:rsidR="00F21B61" w:rsidRPr="003D5747" w:rsidRDefault="00F21B61" w:rsidP="00F21B61">
      <w:pPr>
        <w:rPr>
          <w:rFonts w:eastAsia="MS Mincho"/>
          <w:szCs w:val="20"/>
          <w:lang w:eastAsia="ja-JP"/>
        </w:rPr>
      </w:pPr>
      <w:r w:rsidRPr="00F27ED9">
        <w:rPr>
          <w:rFonts w:eastAsia="MS Mincho"/>
          <w:szCs w:val="20"/>
          <w:lang w:eastAsia="ja-JP"/>
        </w:rPr>
        <w:t>Nei successivi paragrafi, si farà adeguato riferimento alla struttura del modello, alle attività sensibili e ai protocolli specifici di controllo, come stabiliti nel MOG 231.</w:t>
      </w:r>
    </w:p>
    <w:p w:rsidR="00F21B61" w:rsidRPr="00CF0A5C" w:rsidRDefault="00F21B61" w:rsidP="00F21B61">
      <w:pPr>
        <w:rPr>
          <w:rFonts w:eastAsia="MS Mincho"/>
          <w:lang w:eastAsia="ja-JP"/>
        </w:rPr>
      </w:pPr>
    </w:p>
    <w:p w:rsidR="00A03040" w:rsidRPr="008F710D" w:rsidRDefault="00064581" w:rsidP="00F21B61">
      <w:pPr>
        <w:pStyle w:val="Titolo1"/>
      </w:pPr>
      <w:r w:rsidRPr="008F710D">
        <w:br w:type="page"/>
      </w:r>
      <w:bookmarkStart w:id="5" w:name="_Toc28881607"/>
      <w:bookmarkStart w:id="6" w:name="_Toc28966869"/>
      <w:bookmarkStart w:id="7" w:name="_Toc28967089"/>
      <w:bookmarkStart w:id="8" w:name="_Toc28967341"/>
      <w:bookmarkStart w:id="9" w:name="_Toc101601998"/>
      <w:r w:rsidR="00A03040" w:rsidRPr="008F710D">
        <w:lastRenderedPageBreak/>
        <w:t xml:space="preserve">A. INFORMAZIONI </w:t>
      </w:r>
      <w:proofErr w:type="spellStart"/>
      <w:r w:rsidR="00A03040" w:rsidRPr="008F710D">
        <w:t>DI</w:t>
      </w:r>
      <w:proofErr w:type="spellEnd"/>
      <w:r w:rsidR="00A03040" w:rsidRPr="008F710D">
        <w:t xml:space="preserve"> CARATTERE GENERALE</w:t>
      </w:r>
      <w:bookmarkEnd w:id="5"/>
      <w:bookmarkEnd w:id="6"/>
      <w:bookmarkEnd w:id="7"/>
      <w:bookmarkEnd w:id="8"/>
      <w:bookmarkEnd w:id="9"/>
    </w:p>
    <w:p w:rsidR="00372C49" w:rsidRPr="00372C49" w:rsidRDefault="00372C49" w:rsidP="00372C49">
      <w:pPr>
        <w:rPr>
          <w:rFonts w:eastAsia="MS Mincho" w:cs="Calibri"/>
          <w:szCs w:val="20"/>
          <w:lang w:eastAsia="ja-JP"/>
        </w:rPr>
      </w:pPr>
      <w:r w:rsidRPr="00372C49">
        <w:rPr>
          <w:rFonts w:eastAsia="MS Mincho" w:cs="Calibri"/>
          <w:szCs w:val="20"/>
          <w:lang w:eastAsia="ja-JP"/>
        </w:rPr>
        <w:t>A.2 Link alla pagina web dove è pubblicato il Piano triennale di prevenzione della corruzione e della trasparenza:</w:t>
      </w:r>
    </w:p>
    <w:bookmarkStart w:id="10" w:name="_Toc28881608"/>
    <w:bookmarkStart w:id="11" w:name="_Toc28966870"/>
    <w:bookmarkStart w:id="12" w:name="_Toc28967090"/>
    <w:bookmarkStart w:id="13" w:name="_Toc28967342"/>
    <w:p w:rsidR="00372C49" w:rsidRDefault="00787A42" w:rsidP="00372C49">
      <w:pPr>
        <w:rPr>
          <w:rFonts w:eastAsia="MS Mincho"/>
          <w:b/>
          <w:bCs/>
          <w:i/>
          <w:lang w:eastAsia="ja-JP"/>
        </w:rPr>
      </w:pPr>
      <w:r>
        <w:rPr>
          <w:rFonts w:eastAsia="MS Mincho"/>
          <w:b/>
          <w:bCs/>
          <w:i/>
          <w:lang w:eastAsia="ja-JP"/>
        </w:rPr>
        <w:fldChar w:fldCharType="begin"/>
      </w:r>
      <w:r w:rsidR="00372C49">
        <w:rPr>
          <w:rFonts w:eastAsia="MS Mincho"/>
          <w:b/>
          <w:bCs/>
          <w:i/>
          <w:lang w:eastAsia="ja-JP"/>
        </w:rPr>
        <w:instrText xml:space="preserve"> HYPERLINK "</w:instrText>
      </w:r>
      <w:r w:rsidR="00372C49" w:rsidRPr="00372C49">
        <w:rPr>
          <w:rFonts w:eastAsia="MS Mincho"/>
          <w:lang w:eastAsia="ja-JP"/>
        </w:rPr>
        <w:instrText>http://trasparenza.segrateservizi.it/?cat=19335</w:instrText>
      </w:r>
      <w:r w:rsidR="00372C49">
        <w:rPr>
          <w:rFonts w:eastAsia="MS Mincho"/>
          <w:b/>
          <w:bCs/>
          <w:i/>
          <w:lang w:eastAsia="ja-JP"/>
        </w:rPr>
        <w:instrText xml:space="preserve">" </w:instrText>
      </w:r>
      <w:r>
        <w:rPr>
          <w:rFonts w:eastAsia="MS Mincho"/>
          <w:b/>
          <w:bCs/>
          <w:i/>
          <w:lang w:eastAsia="ja-JP"/>
        </w:rPr>
        <w:fldChar w:fldCharType="separate"/>
      </w:r>
      <w:r w:rsidR="00372C49" w:rsidRPr="00C45A99">
        <w:rPr>
          <w:rStyle w:val="Collegamentoipertestuale"/>
          <w:rFonts w:eastAsia="MS Mincho" w:cs="Calibri"/>
          <w:szCs w:val="20"/>
          <w:lang w:eastAsia="ja-JP"/>
        </w:rPr>
        <w:t>http://trasparenza.segrateservizi.it/?cat=19335</w:t>
      </w:r>
      <w:r>
        <w:rPr>
          <w:rFonts w:eastAsia="MS Mincho"/>
          <w:b/>
          <w:bCs/>
          <w:i/>
          <w:lang w:eastAsia="ja-JP"/>
        </w:rPr>
        <w:fldChar w:fldCharType="end"/>
      </w:r>
      <w:r w:rsidR="00372C49">
        <w:rPr>
          <w:rFonts w:eastAsia="MS Mincho"/>
          <w:b/>
          <w:bCs/>
          <w:i/>
          <w:lang w:eastAsia="ja-JP"/>
        </w:rPr>
        <w:t>.</w:t>
      </w:r>
    </w:p>
    <w:p w:rsidR="00993A40" w:rsidRDefault="00993A40" w:rsidP="00993A40">
      <w:pPr>
        <w:spacing w:after="240"/>
        <w:rPr>
          <w:rFonts w:eastAsia="MS Mincho" w:cstheme="minorHAnsi"/>
          <w:b/>
          <w:bCs/>
          <w:color w:val="C00000"/>
          <w:sz w:val="24"/>
          <w:szCs w:val="28"/>
        </w:rPr>
      </w:pPr>
      <w:bookmarkStart w:id="14" w:name="_Toc61987661"/>
      <w:bookmarkStart w:id="15" w:name="_Toc98845966"/>
      <w:bookmarkEnd w:id="10"/>
      <w:bookmarkEnd w:id="11"/>
      <w:bookmarkEnd w:id="12"/>
      <w:bookmarkEnd w:id="13"/>
    </w:p>
    <w:p w:rsidR="00993A40" w:rsidRPr="00DA60F3" w:rsidRDefault="00993A40" w:rsidP="00993A40">
      <w:pPr>
        <w:spacing w:after="240"/>
        <w:rPr>
          <w:rFonts w:eastAsia="MS Mincho" w:cstheme="minorHAnsi"/>
          <w:b/>
          <w:bCs/>
          <w:sz w:val="24"/>
          <w:szCs w:val="28"/>
        </w:rPr>
      </w:pPr>
      <w:r w:rsidRPr="00DA60F3">
        <w:rPr>
          <w:rFonts w:eastAsia="MS Mincho" w:cstheme="minorHAnsi"/>
          <w:b/>
          <w:bCs/>
          <w:sz w:val="24"/>
          <w:szCs w:val="28"/>
        </w:rPr>
        <w:t>Il PNA 20</w:t>
      </w:r>
      <w:bookmarkEnd w:id="14"/>
      <w:r w:rsidRPr="00DA60F3">
        <w:rPr>
          <w:rFonts w:eastAsia="MS Mincho" w:cstheme="minorHAnsi"/>
          <w:b/>
          <w:bCs/>
          <w:sz w:val="24"/>
          <w:szCs w:val="28"/>
        </w:rPr>
        <w:t>19 confermato per il 2022</w:t>
      </w:r>
      <w:bookmarkEnd w:id="15"/>
    </w:p>
    <w:p w:rsidR="00993A40" w:rsidRPr="00DA60F3" w:rsidRDefault="00993A40" w:rsidP="00993A40">
      <w:pPr>
        <w:spacing w:after="240"/>
        <w:rPr>
          <w:rFonts w:eastAsia="MS Mincho" w:cstheme="minorHAnsi"/>
          <w:szCs w:val="22"/>
        </w:rPr>
      </w:pPr>
      <w:r w:rsidRPr="00DA60F3">
        <w:rPr>
          <w:rFonts w:eastAsia="MS Mincho" w:cstheme="minorHAnsi"/>
          <w:szCs w:val="22"/>
        </w:rPr>
        <w:t>Il 2021 è stato l’ultimo anno di validità del Piano nazionale anticorruzione approvato nel 2019.</w:t>
      </w:r>
    </w:p>
    <w:p w:rsidR="00993A40" w:rsidRPr="00DA60F3" w:rsidRDefault="00993A40" w:rsidP="00993A40">
      <w:pPr>
        <w:spacing w:after="240"/>
        <w:rPr>
          <w:rFonts w:eastAsia="MS Mincho" w:cstheme="minorHAnsi"/>
          <w:szCs w:val="22"/>
        </w:rPr>
      </w:pPr>
      <w:r w:rsidRPr="00DA60F3">
        <w:rPr>
          <w:rFonts w:eastAsia="MS Mincho" w:cstheme="minorHAnsi"/>
          <w:szCs w:val="22"/>
        </w:rPr>
        <w:t xml:space="preserve">Il consiglio ANAC, nella seduta del 21/7/2021, ha comunicato che “in considerazione delle profonde e sistematiche riforme che interessano i settori cruciali del Paese, e primi tra essi quello della prevenzione della corruzione e quello dei contratti pubblici, ha ritenuto per il momento di limitarsi, rispetto all’aggiornamento del PNA 2019-2021, a fornire un quadro delle fonti normative e delle delibere sopravvenute e rilevanti rispetto alla originaria approvazione del piano triennale”. </w:t>
      </w:r>
    </w:p>
    <w:p w:rsidR="00993A40" w:rsidRPr="00DA60F3" w:rsidRDefault="00993A40" w:rsidP="00993A40">
      <w:pPr>
        <w:spacing w:after="240"/>
        <w:rPr>
          <w:rFonts w:eastAsia="MS Mincho" w:cstheme="minorHAnsi"/>
          <w:szCs w:val="22"/>
        </w:rPr>
      </w:pPr>
      <w:r w:rsidRPr="00DA60F3">
        <w:rPr>
          <w:rFonts w:eastAsia="MS Mincho" w:cstheme="minorHAnsi"/>
          <w:szCs w:val="22"/>
        </w:rPr>
        <w:t>In data 12 gennaio 2022 il Consiglio dell’Autorità Nazionale Anticorruzione ha deliberato di rinviare la data per l’approvazione del Piano triennale di prevenzione della corruzione e della trasparenza, fissata al 31 gennaio di ogni anno dalla legge 6 novembre 2012 n. 190, per l’anno 2022, al 30 aprile.</w:t>
      </w:r>
    </w:p>
    <w:p w:rsidR="00993A40" w:rsidRPr="00DA60F3" w:rsidRDefault="00993A40" w:rsidP="00993A40">
      <w:pPr>
        <w:spacing w:after="240"/>
        <w:rPr>
          <w:rFonts w:eastAsia="MS Mincho" w:cstheme="minorHAnsi"/>
          <w:szCs w:val="22"/>
        </w:rPr>
      </w:pPr>
      <w:r w:rsidRPr="00DA60F3">
        <w:rPr>
          <w:rFonts w:eastAsia="MS Mincho" w:cstheme="minorHAnsi"/>
          <w:szCs w:val="22"/>
        </w:rPr>
        <w:t>Ciò con l’intendimento di semplificare ed uniformare il più possibile per le amministrazioni il recepimento di un quadro normativo in materia oggi ancora estremamente dinamico.</w:t>
      </w:r>
    </w:p>
    <w:p w:rsidR="00993A40" w:rsidRPr="00DA60F3" w:rsidRDefault="00993A40" w:rsidP="00993A40">
      <w:pPr>
        <w:spacing w:after="240"/>
        <w:rPr>
          <w:rFonts w:eastAsia="MS Mincho" w:cstheme="minorHAnsi"/>
          <w:szCs w:val="22"/>
        </w:rPr>
      </w:pPr>
      <w:r w:rsidRPr="00DA60F3">
        <w:rPr>
          <w:rFonts w:eastAsia="MS Mincho" w:cstheme="minorHAnsi"/>
          <w:szCs w:val="22"/>
        </w:rPr>
        <w:t xml:space="preserve">Gli “Orientamenti per la pianificazione anticorruzione e trasparenza 2022” approvati dal Consiglio dell’Autorità ANAC in data 2 febbraio 2022 hanno confermato l’impianto complessivo del PNA 2019, specificando alcuni dettagli e modalità operative da seguire da parte delle amministrazioni obbligate al contrasto e alla lotta della corruzione e della </w:t>
      </w:r>
      <w:proofErr w:type="spellStart"/>
      <w:r w:rsidRPr="00DA60F3">
        <w:rPr>
          <w:rFonts w:eastAsia="MS Mincho" w:cstheme="minorHAnsi"/>
          <w:i/>
          <w:iCs/>
          <w:szCs w:val="22"/>
        </w:rPr>
        <w:t>maladmisitration</w:t>
      </w:r>
      <w:proofErr w:type="spellEnd"/>
      <w:r w:rsidRPr="00DA60F3">
        <w:rPr>
          <w:rFonts w:eastAsia="MS Mincho" w:cstheme="minorHAnsi"/>
          <w:szCs w:val="22"/>
        </w:rPr>
        <w:t>.</w:t>
      </w:r>
    </w:p>
    <w:p w:rsidR="00A03040" w:rsidRPr="00DA60F3" w:rsidRDefault="00993A40" w:rsidP="00993A40">
      <w:pPr>
        <w:rPr>
          <w:rFonts w:eastAsia="MS Mincho" w:cstheme="minorHAnsi"/>
          <w:szCs w:val="22"/>
        </w:rPr>
      </w:pPr>
      <w:r w:rsidRPr="00DA60F3">
        <w:rPr>
          <w:rFonts w:eastAsia="MS Mincho" w:cstheme="minorHAnsi"/>
          <w:szCs w:val="22"/>
        </w:rPr>
        <w:t xml:space="preserve">Si rinvia a </w:t>
      </w:r>
      <w:hyperlink r:id="rId8" w:history="1">
        <w:r w:rsidRPr="00DA60F3">
          <w:rPr>
            <w:rStyle w:val="Collegamentoipertestuale"/>
            <w:rFonts w:eastAsia="MS Mincho" w:cstheme="minorHAnsi"/>
            <w:color w:val="auto"/>
            <w:szCs w:val="22"/>
          </w:rPr>
          <w:t>https://www.anticorruzione.it/-/orientamenti-per-la-pianificazione-anticorruzione-e-trasparenza-2022</w:t>
        </w:r>
      </w:hyperlink>
      <w:r w:rsidRPr="00DA60F3">
        <w:rPr>
          <w:rFonts w:eastAsia="MS Mincho" w:cstheme="minorHAnsi"/>
          <w:szCs w:val="22"/>
        </w:rPr>
        <w:t xml:space="preserve">  per la verifica di quanto previsto.</w:t>
      </w:r>
    </w:p>
    <w:p w:rsidR="00993A40" w:rsidRPr="00DA60F3" w:rsidRDefault="00993A40" w:rsidP="00993A40">
      <w:pPr>
        <w:rPr>
          <w:rFonts w:cs="Calibri"/>
          <w:lang w:eastAsia="en-US"/>
        </w:rPr>
      </w:pPr>
    </w:p>
    <w:p w:rsidR="00372C49" w:rsidRDefault="00372C49" w:rsidP="00993A40">
      <w:pPr>
        <w:rPr>
          <w:lang w:eastAsia="en-US"/>
        </w:rPr>
      </w:pPr>
      <w:bookmarkStart w:id="16" w:name="_Toc28881609"/>
      <w:bookmarkStart w:id="17" w:name="_Toc28966871"/>
      <w:bookmarkStart w:id="18" w:name="_Toc28967091"/>
      <w:bookmarkStart w:id="19" w:name="_Toc28967343"/>
      <w:proofErr w:type="spellStart"/>
      <w:r w:rsidRPr="00797772">
        <w:rPr>
          <w:lang w:eastAsia="en-US"/>
        </w:rPr>
        <w:t>l</w:t>
      </w:r>
      <w:r>
        <w:rPr>
          <w:lang w:eastAsia="en-US"/>
        </w:rPr>
        <w:t>l</w:t>
      </w:r>
      <w:proofErr w:type="spellEnd"/>
      <w:r w:rsidRPr="00797772">
        <w:rPr>
          <w:lang w:eastAsia="en-US"/>
        </w:rPr>
        <w:t xml:space="preserve"> </w:t>
      </w:r>
      <w:r>
        <w:rPr>
          <w:lang w:eastAsia="en-US"/>
        </w:rPr>
        <w:t xml:space="preserve">presente </w:t>
      </w:r>
      <w:r w:rsidRPr="00797772">
        <w:rPr>
          <w:lang w:eastAsia="en-US"/>
        </w:rPr>
        <w:t xml:space="preserve">Piano di prevenzione specifica con chiarezza che la corruzione che si intende impedire attraverso </w:t>
      </w:r>
      <w:r>
        <w:rPr>
          <w:lang w:eastAsia="en-US"/>
        </w:rPr>
        <w:t xml:space="preserve">le misure qui riportate </w:t>
      </w:r>
      <w:r w:rsidRPr="00797772">
        <w:rPr>
          <w:lang w:eastAsia="en-US"/>
        </w:rPr>
        <w:t xml:space="preserve">non è </w:t>
      </w:r>
      <w:r>
        <w:rPr>
          <w:lang w:eastAsia="en-US"/>
        </w:rPr>
        <w:t xml:space="preserve">soltanto </w:t>
      </w:r>
      <w:r w:rsidRPr="00797772">
        <w:rPr>
          <w:lang w:eastAsia="en-US"/>
        </w:rPr>
        <w:t xml:space="preserve">quella </w:t>
      </w:r>
      <w:r>
        <w:rPr>
          <w:lang w:eastAsia="en-US"/>
        </w:rPr>
        <w:t xml:space="preserve">di rilevanza “penale” definita </w:t>
      </w:r>
      <w:r w:rsidRPr="00797772">
        <w:rPr>
          <w:lang w:eastAsia="en-US"/>
        </w:rPr>
        <w:t>d</w:t>
      </w:r>
      <w:r>
        <w:rPr>
          <w:lang w:eastAsia="en-US"/>
        </w:rPr>
        <w:t>a</w:t>
      </w:r>
      <w:r w:rsidRPr="00797772">
        <w:rPr>
          <w:lang w:eastAsia="en-US"/>
        </w:rPr>
        <w:t xml:space="preserve">gli artt. 318, 319 e ss. del </w:t>
      </w:r>
      <w:r>
        <w:rPr>
          <w:lang w:eastAsia="en-US"/>
        </w:rPr>
        <w:t>C</w:t>
      </w:r>
      <w:r w:rsidRPr="00797772">
        <w:rPr>
          <w:lang w:eastAsia="en-US"/>
        </w:rPr>
        <w:t xml:space="preserve">odice penale </w:t>
      </w:r>
      <w:r>
        <w:rPr>
          <w:lang w:eastAsia="en-US"/>
        </w:rPr>
        <w:t xml:space="preserve">bensì </w:t>
      </w:r>
      <w:r w:rsidRPr="00797772">
        <w:rPr>
          <w:lang w:eastAsia="en-US"/>
        </w:rPr>
        <w:t xml:space="preserve">quella </w:t>
      </w:r>
      <w:r>
        <w:rPr>
          <w:lang w:eastAsia="en-US"/>
        </w:rPr>
        <w:t>“</w:t>
      </w:r>
      <w:r w:rsidRPr="00797772">
        <w:rPr>
          <w:lang w:eastAsia="en-US"/>
        </w:rPr>
        <w:t>amministrativa</w:t>
      </w:r>
      <w:r>
        <w:rPr>
          <w:lang w:eastAsia="en-US"/>
        </w:rPr>
        <w:t>”</w:t>
      </w:r>
      <w:r w:rsidRPr="00797772">
        <w:rPr>
          <w:lang w:eastAsia="en-US"/>
        </w:rPr>
        <w:t xml:space="preserve">, in cui rientrano tutta una serie di comportamenti di </w:t>
      </w:r>
      <w:proofErr w:type="spellStart"/>
      <w:r w:rsidRPr="006D482A">
        <w:rPr>
          <w:b/>
          <w:bCs/>
          <w:lang w:eastAsia="en-US"/>
        </w:rPr>
        <w:t>maladministration</w:t>
      </w:r>
      <w:proofErr w:type="spellEnd"/>
      <w:r w:rsidRPr="00797772">
        <w:rPr>
          <w:lang w:eastAsia="en-US"/>
        </w:rPr>
        <w:t xml:space="preserve"> che non necessariamente implicano profili delittuosi. Si tratta semmai di principi di regolarità della condotta ai quali </w:t>
      </w:r>
      <w:r>
        <w:rPr>
          <w:lang w:eastAsia="en-US"/>
        </w:rPr>
        <w:t xml:space="preserve">devono </w:t>
      </w:r>
      <w:r w:rsidRPr="00797772">
        <w:rPr>
          <w:lang w:eastAsia="en-US"/>
        </w:rPr>
        <w:t xml:space="preserve">ispirarsi </w:t>
      </w:r>
      <w:r>
        <w:rPr>
          <w:lang w:eastAsia="en-US"/>
        </w:rPr>
        <w:t>le organizzazioni pubbliche.</w:t>
      </w:r>
    </w:p>
    <w:p w:rsidR="00A03040" w:rsidRPr="00B67FEC" w:rsidRDefault="00372C49" w:rsidP="0049154B">
      <w:pPr>
        <w:pStyle w:val="Titolo1"/>
        <w:rPr>
          <w:rFonts w:cs="Calibri"/>
        </w:rPr>
      </w:pPr>
      <w:r>
        <w:rPr>
          <w:rFonts w:cs="Calibri"/>
        </w:rPr>
        <w:br w:type="page"/>
      </w:r>
      <w:bookmarkStart w:id="20" w:name="_Toc101601999"/>
      <w:r w:rsidR="00A03040" w:rsidRPr="00B67FEC">
        <w:rPr>
          <w:rFonts w:cs="Calibri"/>
        </w:rPr>
        <w:lastRenderedPageBreak/>
        <w:t xml:space="preserve">B. PROCESSO </w:t>
      </w:r>
      <w:proofErr w:type="spellStart"/>
      <w:r w:rsidR="00A03040" w:rsidRPr="00B67FEC">
        <w:rPr>
          <w:rFonts w:cs="Calibri"/>
        </w:rPr>
        <w:t>DI</w:t>
      </w:r>
      <w:proofErr w:type="spellEnd"/>
      <w:r w:rsidR="00A03040" w:rsidRPr="00B67FEC">
        <w:rPr>
          <w:rFonts w:cs="Calibri"/>
        </w:rPr>
        <w:t xml:space="preserve"> REDAZIONE E APPROVAZIONE DEL </w:t>
      </w:r>
      <w:proofErr w:type="spellStart"/>
      <w:r w:rsidR="00A03040" w:rsidRPr="00B67FEC">
        <w:rPr>
          <w:rFonts w:cs="Calibri"/>
        </w:rPr>
        <w:t>PTPC</w:t>
      </w:r>
      <w:bookmarkEnd w:id="16"/>
      <w:bookmarkEnd w:id="17"/>
      <w:bookmarkEnd w:id="18"/>
      <w:bookmarkEnd w:id="19"/>
      <w:r w:rsidR="00F54AE7" w:rsidRPr="00B67FEC">
        <w:rPr>
          <w:rFonts w:cs="Calibri"/>
        </w:rPr>
        <w:t>eT</w:t>
      </w:r>
      <w:bookmarkEnd w:id="20"/>
      <w:proofErr w:type="spellEnd"/>
      <w:r w:rsidR="00A03040" w:rsidRPr="00B67FEC">
        <w:rPr>
          <w:rFonts w:cs="Calibri"/>
        </w:rPr>
        <w:t xml:space="preserve"> </w:t>
      </w:r>
    </w:p>
    <w:p w:rsidR="00005E0D" w:rsidRPr="008F710D" w:rsidRDefault="00064581" w:rsidP="008E2618">
      <w:pPr>
        <w:pStyle w:val="Titolo3"/>
      </w:pPr>
      <w:bookmarkStart w:id="21" w:name="_Toc28881611"/>
      <w:bookmarkStart w:id="22" w:name="_Toc28966872"/>
      <w:bookmarkStart w:id="23" w:name="_Toc28967092"/>
      <w:bookmarkStart w:id="24" w:name="_Toc28967344"/>
      <w:bookmarkStart w:id="25" w:name="_Toc101602000"/>
      <w:r w:rsidRPr="008F710D">
        <w:t>La finalità</w:t>
      </w:r>
      <w:bookmarkEnd w:id="21"/>
      <w:bookmarkEnd w:id="22"/>
      <w:bookmarkEnd w:id="23"/>
      <w:bookmarkEnd w:id="24"/>
      <w:bookmarkEnd w:id="25"/>
    </w:p>
    <w:p w:rsidR="005B5DDD" w:rsidRPr="00B67FEC" w:rsidRDefault="00391379" w:rsidP="0049154B">
      <w:pPr>
        <w:rPr>
          <w:rFonts w:cs="Calibri"/>
          <w:iCs/>
          <w:szCs w:val="20"/>
        </w:rPr>
      </w:pPr>
      <w:r w:rsidRPr="00B67FEC">
        <w:rPr>
          <w:rFonts w:cs="Calibri"/>
          <w:iCs/>
          <w:szCs w:val="20"/>
        </w:rPr>
        <w:t xml:space="preserve">Le </w:t>
      </w:r>
      <w:r w:rsidR="002021DD" w:rsidRPr="00B67FEC">
        <w:rPr>
          <w:rFonts w:cs="Calibri"/>
        </w:rPr>
        <w:t xml:space="preserve">Società in controllo pubblico </w:t>
      </w:r>
      <w:r w:rsidR="005B5DDD" w:rsidRPr="00B67FEC">
        <w:rPr>
          <w:rFonts w:cs="Calibri"/>
          <w:iCs/>
          <w:szCs w:val="20"/>
        </w:rPr>
        <w:t xml:space="preserve">operano a seguito dell’approvazione del Piano Nazionale Anticorruzione e </w:t>
      </w:r>
      <w:r w:rsidRPr="00B67FEC">
        <w:rPr>
          <w:rFonts w:cs="Calibri"/>
          <w:iCs/>
          <w:szCs w:val="20"/>
        </w:rPr>
        <w:t>delle successive integrazioni normative</w:t>
      </w:r>
      <w:r w:rsidR="005B5DDD" w:rsidRPr="00B67FEC">
        <w:rPr>
          <w:rFonts w:cs="Calibri"/>
          <w:iCs/>
          <w:szCs w:val="20"/>
        </w:rPr>
        <w:t xml:space="preserve"> per procedere alla stesura ed alla approvazione del Piano. </w:t>
      </w:r>
    </w:p>
    <w:p w:rsidR="005B5DDD" w:rsidRPr="00B67FEC" w:rsidRDefault="005B5DDD" w:rsidP="0049154B">
      <w:pPr>
        <w:rPr>
          <w:rFonts w:cs="Calibri"/>
          <w:szCs w:val="20"/>
        </w:rPr>
      </w:pPr>
      <w:r w:rsidRPr="00B67FEC">
        <w:rPr>
          <w:rFonts w:cs="Calibri"/>
          <w:szCs w:val="20"/>
        </w:rPr>
        <w:t xml:space="preserve">Qualora </w:t>
      </w:r>
      <w:r w:rsidR="00AA0CF3" w:rsidRPr="00B67FEC">
        <w:rPr>
          <w:rFonts w:cs="Calibri"/>
          <w:szCs w:val="20"/>
        </w:rPr>
        <w:t xml:space="preserve">nella Società in </w:t>
      </w:r>
      <w:r w:rsidR="00520C5E" w:rsidRPr="00B67FEC">
        <w:rPr>
          <w:rFonts w:cs="Calibri"/>
          <w:szCs w:val="20"/>
        </w:rPr>
        <w:t>controllo p</w:t>
      </w:r>
      <w:r w:rsidR="00AA0CF3" w:rsidRPr="00B67FEC">
        <w:rPr>
          <w:rFonts w:cs="Calibri"/>
          <w:szCs w:val="20"/>
        </w:rPr>
        <w:t>ubblico</w:t>
      </w:r>
      <w:r w:rsidRPr="00B67FEC">
        <w:rPr>
          <w:rFonts w:cs="Calibri"/>
          <w:szCs w:val="20"/>
        </w:rPr>
        <w:t xml:space="preserve"> fosse commesso un reato di corruzione, accertato con sentenza passata in giudicato, il </w:t>
      </w:r>
      <w:r w:rsidR="00BF2915" w:rsidRPr="00B67FEC">
        <w:rPr>
          <w:rFonts w:cs="Calibri"/>
          <w:szCs w:val="20"/>
        </w:rPr>
        <w:t>Responsabile per la prevenzione</w:t>
      </w:r>
      <w:r w:rsidRPr="00B67FEC">
        <w:rPr>
          <w:rFonts w:cs="Calibri"/>
          <w:szCs w:val="20"/>
        </w:rPr>
        <w:t xml:space="preserve"> sarà chiamato a risponderne personalmente</w:t>
      </w:r>
      <w:r w:rsidR="00F447EA" w:rsidRPr="00B67FEC">
        <w:rPr>
          <w:rFonts w:cs="Calibri"/>
          <w:szCs w:val="20"/>
        </w:rPr>
        <w:t>,</w:t>
      </w:r>
      <w:r w:rsidRPr="00B67FEC">
        <w:rPr>
          <w:rFonts w:cs="Calibri"/>
          <w:szCs w:val="20"/>
        </w:rPr>
        <w:t xml:space="preserve"> </w:t>
      </w:r>
      <w:r w:rsidR="00F447EA" w:rsidRPr="00B67FEC">
        <w:rPr>
          <w:rFonts w:cs="Calibri"/>
          <w:szCs w:val="20"/>
        </w:rPr>
        <w:t>salvo poter</w:t>
      </w:r>
      <w:r w:rsidRPr="00B67FEC">
        <w:rPr>
          <w:rFonts w:cs="Calibri"/>
          <w:szCs w:val="20"/>
        </w:rPr>
        <w:t xml:space="preserve"> dimostrare di aver predisposto, prima della commissione del fatto, il Piano e di aver vigilato sulla sua applicazione ed osservanza. </w:t>
      </w:r>
    </w:p>
    <w:p w:rsidR="00F931EB" w:rsidRPr="00B67FEC" w:rsidRDefault="00C93638" w:rsidP="0049154B">
      <w:pPr>
        <w:rPr>
          <w:rFonts w:cs="Calibri"/>
          <w:szCs w:val="20"/>
        </w:rPr>
      </w:pPr>
      <w:r w:rsidRPr="00B67FEC">
        <w:rPr>
          <w:rFonts w:cs="Calibri"/>
          <w:szCs w:val="20"/>
        </w:rPr>
        <w:t xml:space="preserve">Il Piano costituisce uno strumento agile volto all'adozione di misure organizzative preordinate ad evitare fenomeni di corruzione </w:t>
      </w:r>
      <w:r w:rsidR="00391379" w:rsidRPr="00B67FEC">
        <w:rPr>
          <w:rFonts w:cs="Calibri"/>
          <w:szCs w:val="20"/>
        </w:rPr>
        <w:t>nella amministrazione pubblica</w:t>
      </w:r>
      <w:r w:rsidRPr="00B67FEC">
        <w:rPr>
          <w:rFonts w:cs="Calibri"/>
          <w:szCs w:val="20"/>
        </w:rPr>
        <w:t xml:space="preserve"> per i quali si introduce una nuova attività di controllo, assegnata dalla Legge 190/201</w:t>
      </w:r>
      <w:r w:rsidR="00F447EA" w:rsidRPr="00B67FEC">
        <w:rPr>
          <w:rFonts w:cs="Calibri"/>
          <w:szCs w:val="20"/>
        </w:rPr>
        <w:t>2</w:t>
      </w:r>
      <w:r w:rsidRPr="00B67FEC">
        <w:rPr>
          <w:rFonts w:cs="Calibri"/>
          <w:szCs w:val="20"/>
        </w:rPr>
        <w:t xml:space="preserve"> al </w:t>
      </w:r>
      <w:r w:rsidR="00F447EA" w:rsidRPr="00B67FEC">
        <w:rPr>
          <w:rFonts w:cs="Calibri"/>
          <w:szCs w:val="20"/>
        </w:rPr>
        <w:t>Re</w:t>
      </w:r>
      <w:r w:rsidR="00F931EB" w:rsidRPr="00B67FEC">
        <w:rPr>
          <w:rFonts w:cs="Calibri"/>
          <w:szCs w:val="20"/>
        </w:rPr>
        <w:t>sponsabile dell’Anticorruzione.</w:t>
      </w:r>
    </w:p>
    <w:p w:rsidR="00C93638" w:rsidRPr="00B67FEC" w:rsidRDefault="00C93638" w:rsidP="0049154B">
      <w:pPr>
        <w:rPr>
          <w:rFonts w:cs="Calibri"/>
          <w:szCs w:val="20"/>
        </w:rPr>
      </w:pPr>
      <w:r w:rsidRPr="00B67FEC">
        <w:rPr>
          <w:rFonts w:cs="Calibri"/>
          <w:szCs w:val="20"/>
        </w:rPr>
        <w:t xml:space="preserve">Il Piano che si propone è stato costruito in maniera tale da determinare il miglioramento delle pratiche amministrative attraverso la promozione dell'etica </w:t>
      </w:r>
      <w:r w:rsidR="00AA0CF3" w:rsidRPr="00B67FEC">
        <w:rPr>
          <w:rFonts w:cs="Calibri"/>
          <w:szCs w:val="20"/>
        </w:rPr>
        <w:t xml:space="preserve">anche in </w:t>
      </w:r>
      <w:r w:rsidR="00EC0950">
        <w:rPr>
          <w:rFonts w:cs="Calibri"/>
          <w:szCs w:val="20"/>
        </w:rPr>
        <w:t>Segrate Servizi Srl</w:t>
      </w:r>
      <w:r w:rsidRPr="00B67FEC">
        <w:rPr>
          <w:rFonts w:cs="Calibri"/>
          <w:szCs w:val="20"/>
        </w:rPr>
        <w:t xml:space="preserve">, evitando la costituzione di illeciti e comportamenti che in qualche maniera possano adombrare la trasparenza e </w:t>
      </w:r>
      <w:r w:rsidR="00AA0CF3" w:rsidRPr="00B67FEC">
        <w:rPr>
          <w:rFonts w:cs="Calibri"/>
          <w:szCs w:val="20"/>
        </w:rPr>
        <w:t xml:space="preserve">la stessa correttezza </w:t>
      </w:r>
      <w:r w:rsidR="00520C5E" w:rsidRPr="00B67FEC">
        <w:rPr>
          <w:rFonts w:cs="Calibri"/>
          <w:szCs w:val="20"/>
        </w:rPr>
        <w:t xml:space="preserve">della </w:t>
      </w:r>
      <w:r w:rsidR="00F902C5" w:rsidRPr="00B67FEC">
        <w:rPr>
          <w:rFonts w:cs="Calibri"/>
          <w:szCs w:val="20"/>
        </w:rPr>
        <w:t>Società</w:t>
      </w:r>
      <w:r w:rsidRPr="00B67FEC">
        <w:rPr>
          <w:rFonts w:cs="Calibri"/>
          <w:szCs w:val="20"/>
        </w:rPr>
        <w:t>.</w:t>
      </w:r>
    </w:p>
    <w:p w:rsidR="00C93638" w:rsidRPr="00B67FEC" w:rsidRDefault="00C93638" w:rsidP="0049154B">
      <w:pPr>
        <w:rPr>
          <w:rFonts w:cs="Calibri"/>
          <w:szCs w:val="20"/>
        </w:rPr>
      </w:pPr>
      <w:r w:rsidRPr="00B67FEC">
        <w:rPr>
          <w:rFonts w:cs="Calibri"/>
          <w:szCs w:val="20"/>
        </w:rPr>
        <w:t xml:space="preserve">Finora, l'approccio più utilizzato nel combattere la corruzione in Italia è stato di tipo repressivo trascurando </w:t>
      </w:r>
      <w:r w:rsidR="00F447EA" w:rsidRPr="00B67FEC">
        <w:rPr>
          <w:rFonts w:cs="Calibri"/>
          <w:szCs w:val="20"/>
        </w:rPr>
        <w:t xml:space="preserve">invece </w:t>
      </w:r>
      <w:r w:rsidRPr="00B67FEC">
        <w:rPr>
          <w:rFonts w:cs="Calibri"/>
          <w:szCs w:val="20"/>
        </w:rPr>
        <w:t>comportamenti di tipo preventivo</w:t>
      </w:r>
      <w:r w:rsidR="00F447EA" w:rsidRPr="00B67FEC">
        <w:rPr>
          <w:rFonts w:cs="Calibri"/>
          <w:szCs w:val="20"/>
        </w:rPr>
        <w:t>;</w:t>
      </w:r>
      <w:r w:rsidRPr="00B67FEC">
        <w:rPr>
          <w:rFonts w:cs="Calibri"/>
          <w:szCs w:val="20"/>
        </w:rPr>
        <w:t xml:space="preserve"> </w:t>
      </w:r>
      <w:r w:rsidR="00F447EA" w:rsidRPr="00B67FEC">
        <w:rPr>
          <w:rFonts w:cs="Calibri"/>
          <w:szCs w:val="20"/>
        </w:rPr>
        <w:t xml:space="preserve">attraverso questo </w:t>
      </w:r>
      <w:r w:rsidRPr="00B67FEC">
        <w:rPr>
          <w:rFonts w:cs="Calibri"/>
          <w:szCs w:val="20"/>
        </w:rPr>
        <w:t>piano si pensa ad invertire questa tendenza per allinearsi anche ai modelli più avanzati d’Europa.</w:t>
      </w:r>
    </w:p>
    <w:p w:rsidR="00C93638" w:rsidRPr="00B67FEC" w:rsidRDefault="00C93638" w:rsidP="0049154B">
      <w:pPr>
        <w:rPr>
          <w:rFonts w:cs="Calibri"/>
          <w:szCs w:val="20"/>
        </w:rPr>
      </w:pPr>
      <w:r w:rsidRPr="00B67FEC">
        <w:rPr>
          <w:rFonts w:cs="Calibri"/>
          <w:szCs w:val="20"/>
        </w:rPr>
        <w:t xml:space="preserve">Per centrare l’obiettivo, interagendo con la struttura sin dalla nascita degli atti, è essenziale </w:t>
      </w:r>
      <w:r w:rsidR="00F447EA" w:rsidRPr="00B67FEC">
        <w:rPr>
          <w:rFonts w:cs="Calibri"/>
          <w:szCs w:val="20"/>
        </w:rPr>
        <w:t xml:space="preserve">recuperare </w:t>
      </w:r>
      <w:r w:rsidRPr="00B67FEC">
        <w:rPr>
          <w:rFonts w:cs="Calibri"/>
          <w:szCs w:val="20"/>
        </w:rPr>
        <w:t xml:space="preserve">la </w:t>
      </w:r>
      <w:r w:rsidR="00EF0B06" w:rsidRPr="00B67FEC">
        <w:rPr>
          <w:rFonts w:cs="Calibri"/>
          <w:szCs w:val="20"/>
        </w:rPr>
        <w:t>g</w:t>
      </w:r>
      <w:r w:rsidRPr="00B67FEC">
        <w:rPr>
          <w:rFonts w:cs="Calibri"/>
          <w:szCs w:val="20"/>
        </w:rPr>
        <w:t>aranzia del controllo, infatti, la corruzione è agevolata quando il controllo manca del</w:t>
      </w:r>
      <w:r w:rsidR="00835A19" w:rsidRPr="00B67FEC">
        <w:rPr>
          <w:rFonts w:cs="Calibri"/>
          <w:szCs w:val="20"/>
        </w:rPr>
        <w:t xml:space="preserve"> </w:t>
      </w:r>
      <w:r w:rsidRPr="00B67FEC">
        <w:rPr>
          <w:rFonts w:cs="Calibri"/>
          <w:szCs w:val="20"/>
        </w:rPr>
        <w:t>tutto, viene trascurato oppure è insufficiente</w:t>
      </w:r>
      <w:r w:rsidR="00F447EA" w:rsidRPr="00B67FEC">
        <w:rPr>
          <w:rFonts w:cs="Calibri"/>
          <w:szCs w:val="20"/>
        </w:rPr>
        <w:t>.</w:t>
      </w:r>
    </w:p>
    <w:p w:rsidR="00B82E39" w:rsidRPr="00B67FEC" w:rsidRDefault="00B82E39" w:rsidP="0049154B">
      <w:pPr>
        <w:rPr>
          <w:rFonts w:cs="Calibri"/>
          <w:szCs w:val="20"/>
        </w:rPr>
      </w:pPr>
      <w:r w:rsidRPr="00B67FEC">
        <w:rPr>
          <w:rFonts w:cs="Calibri"/>
          <w:szCs w:val="20"/>
        </w:rPr>
        <w:t>A detti sc</w:t>
      </w:r>
      <w:r w:rsidR="00F447EA" w:rsidRPr="00B67FEC">
        <w:rPr>
          <w:rFonts w:cs="Calibri"/>
          <w:szCs w:val="20"/>
        </w:rPr>
        <w:t xml:space="preserve">opi è essenziale, perciò, che </w:t>
      </w:r>
      <w:r w:rsidR="00F931EB" w:rsidRPr="00B67FEC">
        <w:rPr>
          <w:rFonts w:cs="Calibri"/>
          <w:szCs w:val="20"/>
        </w:rPr>
        <w:t>si</w:t>
      </w:r>
      <w:r w:rsidRPr="00B67FEC">
        <w:rPr>
          <w:rFonts w:cs="Calibri"/>
          <w:szCs w:val="20"/>
        </w:rPr>
        <w:t xml:space="preserve"> metta a punto un a</w:t>
      </w:r>
      <w:r w:rsidR="00AA0CF3" w:rsidRPr="00B67FEC">
        <w:rPr>
          <w:rFonts w:cs="Calibri"/>
          <w:szCs w:val="20"/>
        </w:rPr>
        <w:t>ffidabile sistema di controllo i</w:t>
      </w:r>
      <w:r w:rsidRPr="00B67FEC">
        <w:rPr>
          <w:rFonts w:cs="Calibri"/>
          <w:szCs w:val="20"/>
        </w:rPr>
        <w:t xml:space="preserve">nterno, individuando ex ante quali tra le attività svolte dai dipendenti siano particolarmente esposte al pericolo di corruzione, ed essere attenti nell’assunzione dei rimedi previsti dal Piano. </w:t>
      </w:r>
    </w:p>
    <w:p w:rsidR="00C93638" w:rsidRPr="00B67FEC" w:rsidRDefault="00B82E39" w:rsidP="0049154B">
      <w:pPr>
        <w:rPr>
          <w:rFonts w:cs="Calibri"/>
          <w:szCs w:val="20"/>
        </w:rPr>
      </w:pPr>
      <w:r w:rsidRPr="00B67FEC">
        <w:rPr>
          <w:rFonts w:cs="Calibri"/>
          <w:szCs w:val="20"/>
        </w:rPr>
        <w:t>Quest’ultimo sarà interpretato, sempre, come strumento generale di prevenzione e diffusione dell’etica, secondo i principi contemplati nell’art. Art. 97 della Costituzione</w:t>
      </w:r>
      <w:r w:rsidR="00F447EA" w:rsidRPr="00B67FEC">
        <w:rPr>
          <w:rFonts w:cs="Calibri"/>
          <w:szCs w:val="20"/>
        </w:rPr>
        <w:t>.</w:t>
      </w:r>
    </w:p>
    <w:p w:rsidR="00640334" w:rsidRPr="00B67FEC" w:rsidRDefault="003F0435" w:rsidP="0049154B">
      <w:pPr>
        <w:rPr>
          <w:rFonts w:cs="Calibri"/>
          <w:szCs w:val="20"/>
        </w:rPr>
      </w:pPr>
      <w:r w:rsidRPr="00B67FEC">
        <w:rPr>
          <w:rFonts w:cs="Calibri"/>
          <w:szCs w:val="20"/>
        </w:rPr>
        <w:t xml:space="preserve">Resta bene inteso che per l’efficacia del Piano occorre la partecipazione di tutti gli attori, pubblici e </w:t>
      </w:r>
      <w:r w:rsidR="00395BBF" w:rsidRPr="00B67FEC">
        <w:rPr>
          <w:rFonts w:cs="Calibri"/>
          <w:szCs w:val="20"/>
        </w:rPr>
        <w:t>privati,</w:t>
      </w:r>
      <w:r w:rsidRPr="00B67FEC">
        <w:rPr>
          <w:rFonts w:cs="Calibri"/>
          <w:szCs w:val="20"/>
        </w:rPr>
        <w:t xml:space="preserve"> in primis dei </w:t>
      </w:r>
      <w:r w:rsidR="00395BBF" w:rsidRPr="00B67FEC">
        <w:rPr>
          <w:rFonts w:cs="Calibri"/>
          <w:szCs w:val="20"/>
        </w:rPr>
        <w:t xml:space="preserve">collaboratori </w:t>
      </w:r>
      <w:r w:rsidRPr="00B67FEC">
        <w:rPr>
          <w:rFonts w:cs="Calibri"/>
          <w:szCs w:val="20"/>
        </w:rPr>
        <w:t>che dovranno dare operatività e attuazione al medesimo, in particolare alle indicazioni riportate nelle successive tabelle.</w:t>
      </w:r>
    </w:p>
    <w:p w:rsidR="005B5DDD" w:rsidRPr="008F710D" w:rsidRDefault="00064581" w:rsidP="008E2618">
      <w:pPr>
        <w:pStyle w:val="Titolo3"/>
      </w:pPr>
      <w:bookmarkStart w:id="26" w:name="_Toc28881612"/>
      <w:bookmarkStart w:id="27" w:name="_Toc101602001"/>
      <w:r w:rsidRPr="008F710D">
        <w:t>Le fasi</w:t>
      </w:r>
      <w:bookmarkEnd w:id="26"/>
      <w:bookmarkEnd w:id="27"/>
    </w:p>
    <w:p w:rsidR="00223408" w:rsidRDefault="00AA0CF3" w:rsidP="00993A40">
      <w:pPr>
        <w:spacing w:after="240"/>
        <w:rPr>
          <w:rFonts w:cs="Calibri"/>
          <w:szCs w:val="20"/>
        </w:rPr>
      </w:pPr>
      <w:r w:rsidRPr="00B67FEC">
        <w:rPr>
          <w:rFonts w:cs="Calibri"/>
          <w:szCs w:val="20"/>
        </w:rPr>
        <w:t>L’AU</w:t>
      </w:r>
      <w:r w:rsidR="00520C5E" w:rsidRPr="00B67FEC">
        <w:rPr>
          <w:rFonts w:cs="Calibri"/>
          <w:szCs w:val="20"/>
        </w:rPr>
        <w:t>, su proposta del RPC,</w:t>
      </w:r>
      <w:r w:rsidR="00ED1E85" w:rsidRPr="00B67FEC">
        <w:rPr>
          <w:rFonts w:cs="Calibri"/>
          <w:szCs w:val="20"/>
        </w:rPr>
        <w:t xml:space="preserve"> </w:t>
      </w:r>
      <w:r w:rsidRPr="00B67FEC">
        <w:rPr>
          <w:rFonts w:cs="Calibri"/>
          <w:szCs w:val="20"/>
        </w:rPr>
        <w:t xml:space="preserve">approva </w:t>
      </w:r>
      <w:r w:rsidR="00223408" w:rsidRPr="00B67FEC">
        <w:rPr>
          <w:rFonts w:cs="Calibri"/>
          <w:szCs w:val="20"/>
        </w:rPr>
        <w:t xml:space="preserve">il </w:t>
      </w:r>
      <w:r w:rsidR="00767BB8" w:rsidRPr="00B67FEC">
        <w:rPr>
          <w:rFonts w:cs="Calibri"/>
          <w:szCs w:val="20"/>
        </w:rPr>
        <w:t>Piano</w:t>
      </w:r>
      <w:r w:rsidR="00223408" w:rsidRPr="00B67FEC">
        <w:rPr>
          <w:rFonts w:cs="Calibri"/>
          <w:szCs w:val="20"/>
        </w:rPr>
        <w:t xml:space="preserve"> entro il </w:t>
      </w:r>
      <w:r w:rsidR="00223408" w:rsidRPr="00B67FEC">
        <w:rPr>
          <w:rFonts w:cs="Calibri"/>
          <w:b/>
          <w:bCs/>
          <w:szCs w:val="20"/>
        </w:rPr>
        <w:t>31 gennaio</w:t>
      </w:r>
      <w:r w:rsidR="00223408" w:rsidRPr="00B67FEC">
        <w:rPr>
          <w:rFonts w:cs="Calibri"/>
          <w:szCs w:val="20"/>
        </w:rPr>
        <w:t xml:space="preserve"> di ciascun anno, salvo diverso altro termine fissato dalla legge.</w:t>
      </w:r>
      <w:r w:rsidR="00372C49">
        <w:rPr>
          <w:rFonts w:cs="Calibri"/>
          <w:szCs w:val="20"/>
        </w:rPr>
        <w:t xml:space="preserve"> </w:t>
      </w:r>
    </w:p>
    <w:p w:rsidR="00993A40" w:rsidRPr="00DA60F3" w:rsidRDefault="00993A40" w:rsidP="00993A40">
      <w:pPr>
        <w:spacing w:after="240"/>
        <w:rPr>
          <w:rFonts w:cstheme="minorHAnsi"/>
          <w:szCs w:val="20"/>
        </w:rPr>
      </w:pPr>
      <w:r w:rsidRPr="00DA60F3">
        <w:rPr>
          <w:rFonts w:cstheme="minorHAnsi"/>
          <w:szCs w:val="20"/>
        </w:rPr>
        <w:t xml:space="preserve">L’Amministratore Unico approva, su proposta del RPCT, il Piano entro il </w:t>
      </w:r>
      <w:r w:rsidRPr="00DA60F3">
        <w:rPr>
          <w:rFonts w:cstheme="minorHAnsi"/>
          <w:b/>
          <w:bCs/>
          <w:szCs w:val="20"/>
        </w:rPr>
        <w:t>31 gennaio</w:t>
      </w:r>
      <w:r w:rsidRPr="00DA60F3">
        <w:rPr>
          <w:rFonts w:cstheme="minorHAnsi"/>
          <w:szCs w:val="20"/>
        </w:rPr>
        <w:t xml:space="preserve"> di ciascun anno, salvo diverso altro termine fissato dalla legge. Per il 2022, stante il permanere dell’emergenza epidemiologia in corso, la scadenza di approvazione del presente Piano è posticipata al 30/04/2022.</w:t>
      </w:r>
    </w:p>
    <w:p w:rsidR="00223408" w:rsidRPr="00B67FEC" w:rsidRDefault="00223408" w:rsidP="0049154B">
      <w:pPr>
        <w:rPr>
          <w:rFonts w:cs="Calibri"/>
          <w:szCs w:val="20"/>
        </w:rPr>
      </w:pPr>
      <w:r w:rsidRPr="00B67FEC">
        <w:rPr>
          <w:rFonts w:cs="Calibri"/>
          <w:szCs w:val="20"/>
        </w:rPr>
        <w:t xml:space="preserve">Il Piano, una volta approvato, </w:t>
      </w:r>
      <w:r w:rsidR="00E2561D" w:rsidRPr="00B67FEC">
        <w:rPr>
          <w:rFonts w:cs="Calibri"/>
          <w:szCs w:val="20"/>
        </w:rPr>
        <w:t xml:space="preserve">viene pubblicato in forma permanente sul sito internet istituzionale </w:t>
      </w:r>
      <w:r w:rsidR="00520C5E" w:rsidRPr="00B67FEC">
        <w:rPr>
          <w:rFonts w:cs="Calibri"/>
          <w:szCs w:val="20"/>
        </w:rPr>
        <w:t xml:space="preserve">della </w:t>
      </w:r>
      <w:r w:rsidR="00F902C5" w:rsidRPr="00B67FEC">
        <w:rPr>
          <w:rFonts w:cs="Calibri"/>
          <w:szCs w:val="20"/>
        </w:rPr>
        <w:t>Società</w:t>
      </w:r>
      <w:r w:rsidR="00E2561D" w:rsidRPr="00B67FEC">
        <w:rPr>
          <w:rFonts w:cs="Calibri"/>
          <w:szCs w:val="20"/>
        </w:rPr>
        <w:t xml:space="preserve"> in apposita sottosezione denominata “</w:t>
      </w:r>
      <w:r w:rsidR="00AA0CF3" w:rsidRPr="00B67FEC">
        <w:rPr>
          <w:rFonts w:cs="Calibri"/>
          <w:i/>
          <w:szCs w:val="20"/>
        </w:rPr>
        <w:t xml:space="preserve">Società </w:t>
      </w:r>
      <w:proofErr w:type="spellStart"/>
      <w:r w:rsidR="00E2561D" w:rsidRPr="00B67FEC">
        <w:rPr>
          <w:rFonts w:cs="Calibri"/>
          <w:i/>
          <w:szCs w:val="20"/>
        </w:rPr>
        <w:t>Trasparente\Altri</w:t>
      </w:r>
      <w:proofErr w:type="spellEnd"/>
      <w:r w:rsidR="00E2561D" w:rsidRPr="00B67FEC">
        <w:rPr>
          <w:rFonts w:cs="Calibri"/>
          <w:i/>
          <w:szCs w:val="20"/>
        </w:rPr>
        <w:t xml:space="preserve"> </w:t>
      </w:r>
      <w:proofErr w:type="spellStart"/>
      <w:r w:rsidR="00E2561D" w:rsidRPr="00B67FEC">
        <w:rPr>
          <w:rFonts w:cs="Calibri"/>
          <w:i/>
          <w:szCs w:val="20"/>
        </w:rPr>
        <w:t>contenuti\Corruzione</w:t>
      </w:r>
      <w:proofErr w:type="spellEnd"/>
      <w:r w:rsidR="00E2561D" w:rsidRPr="00B67FEC">
        <w:rPr>
          <w:rFonts w:cs="Calibri"/>
          <w:szCs w:val="20"/>
        </w:rPr>
        <w:t xml:space="preserve">”, sarà inoltre necessario inserire un </w:t>
      </w:r>
      <w:r w:rsidR="00E2561D" w:rsidRPr="00B67FEC">
        <w:rPr>
          <w:rFonts w:cs="Calibri"/>
          <w:szCs w:val="20"/>
        </w:rPr>
        <w:lastRenderedPageBreak/>
        <w:t xml:space="preserve">collegamento tramite link a tale sezione in </w:t>
      </w:r>
      <w:r w:rsidR="00571D63" w:rsidRPr="00B67FEC">
        <w:rPr>
          <w:rFonts w:cs="Calibri"/>
          <w:szCs w:val="20"/>
        </w:rPr>
        <w:t>“</w:t>
      </w:r>
      <w:r w:rsidR="00E2561D" w:rsidRPr="00B67FEC">
        <w:rPr>
          <w:rFonts w:cs="Calibri"/>
          <w:i/>
          <w:szCs w:val="20"/>
        </w:rPr>
        <w:t xml:space="preserve">Disposizioni </w:t>
      </w:r>
      <w:proofErr w:type="spellStart"/>
      <w:r w:rsidR="00E2561D" w:rsidRPr="00B67FEC">
        <w:rPr>
          <w:rFonts w:cs="Calibri"/>
          <w:i/>
          <w:szCs w:val="20"/>
        </w:rPr>
        <w:t>Generali\Piano</w:t>
      </w:r>
      <w:proofErr w:type="spellEnd"/>
      <w:r w:rsidR="00E2561D" w:rsidRPr="00B67FEC">
        <w:rPr>
          <w:rFonts w:cs="Calibri"/>
          <w:i/>
          <w:szCs w:val="20"/>
        </w:rPr>
        <w:t xml:space="preserve"> triennale per la prevenzione della corruzione e della trasparenza</w:t>
      </w:r>
      <w:r w:rsidR="00E2561D" w:rsidRPr="00B67FEC">
        <w:rPr>
          <w:rFonts w:cs="Calibri"/>
          <w:szCs w:val="20"/>
        </w:rPr>
        <w:t>”</w:t>
      </w:r>
      <w:r w:rsidR="00D81B33" w:rsidRPr="00B67FEC">
        <w:rPr>
          <w:rFonts w:cs="Calibri"/>
          <w:szCs w:val="20"/>
        </w:rPr>
        <w:t>.</w:t>
      </w:r>
    </w:p>
    <w:p w:rsidR="00D81B33" w:rsidRPr="00372C49" w:rsidRDefault="00D81B33" w:rsidP="0049154B">
      <w:pPr>
        <w:rPr>
          <w:rFonts w:cs="Calibri"/>
          <w:bCs/>
          <w:szCs w:val="20"/>
        </w:rPr>
      </w:pPr>
      <w:r w:rsidRPr="00372C49">
        <w:rPr>
          <w:rFonts w:cs="Calibri"/>
          <w:bCs/>
          <w:szCs w:val="20"/>
        </w:rPr>
        <w:t xml:space="preserve">Il RPC o un suo delegato </w:t>
      </w:r>
      <w:r w:rsidR="00AA0CF3" w:rsidRPr="00372C49">
        <w:rPr>
          <w:rFonts w:cs="Calibri"/>
          <w:bCs/>
          <w:szCs w:val="20"/>
        </w:rPr>
        <w:t xml:space="preserve">verifica l’opportunità di </w:t>
      </w:r>
      <w:r w:rsidRPr="00372C49">
        <w:rPr>
          <w:rFonts w:cs="Calibri"/>
          <w:bCs/>
          <w:szCs w:val="20"/>
        </w:rPr>
        <w:t>provvede</w:t>
      </w:r>
      <w:r w:rsidR="00AA0CF3" w:rsidRPr="00372C49">
        <w:rPr>
          <w:rFonts w:cs="Calibri"/>
          <w:bCs/>
          <w:szCs w:val="20"/>
        </w:rPr>
        <w:t>re</w:t>
      </w:r>
      <w:r w:rsidRPr="00372C49">
        <w:rPr>
          <w:rFonts w:cs="Calibri"/>
          <w:bCs/>
          <w:szCs w:val="20"/>
        </w:rPr>
        <w:t xml:space="preserve"> all’inserimento </w:t>
      </w:r>
      <w:r w:rsidR="00ED1E85" w:rsidRPr="00372C49">
        <w:rPr>
          <w:rFonts w:cs="Calibri"/>
          <w:bCs/>
          <w:szCs w:val="20"/>
        </w:rPr>
        <w:t xml:space="preserve">nella </w:t>
      </w:r>
      <w:r w:rsidRPr="00372C49">
        <w:rPr>
          <w:rFonts w:cs="Calibri"/>
          <w:bCs/>
          <w:szCs w:val="20"/>
        </w:rPr>
        <w:t xml:space="preserve">Piattaforma </w:t>
      </w:r>
      <w:r w:rsidR="00ED1E85" w:rsidRPr="00372C49">
        <w:rPr>
          <w:rFonts w:cs="Calibri"/>
          <w:bCs/>
          <w:szCs w:val="20"/>
        </w:rPr>
        <w:t xml:space="preserve">predisposta da ANAC </w:t>
      </w:r>
      <w:r w:rsidRPr="00372C49">
        <w:rPr>
          <w:rFonts w:cs="Calibri"/>
          <w:bCs/>
          <w:szCs w:val="20"/>
        </w:rPr>
        <w:t>di acquisizione dei Piani Triennali per la Prevenzione della Corruzione e della Trasparenza dei contenuti del Piano.</w:t>
      </w:r>
    </w:p>
    <w:p w:rsidR="00223408" w:rsidRPr="00372C49" w:rsidRDefault="00223408" w:rsidP="0049154B">
      <w:pPr>
        <w:rPr>
          <w:rFonts w:cs="Calibri"/>
          <w:szCs w:val="20"/>
        </w:rPr>
      </w:pPr>
      <w:r w:rsidRPr="00B67FEC">
        <w:rPr>
          <w:rFonts w:cs="Calibri"/>
          <w:szCs w:val="20"/>
        </w:rPr>
        <w:t>Nella medesima sottosezione del sito viene pubblicata</w:t>
      </w:r>
      <w:r w:rsidR="003D5747" w:rsidRPr="00B67FEC">
        <w:rPr>
          <w:rFonts w:cs="Calibri"/>
          <w:szCs w:val="20"/>
        </w:rPr>
        <w:t xml:space="preserve"> la relazione recante i risultati dell'attività svolta</w:t>
      </w:r>
      <w:r w:rsidR="00AA0CF3" w:rsidRPr="00B67FEC">
        <w:rPr>
          <w:rFonts w:cs="Calibri"/>
          <w:szCs w:val="20"/>
        </w:rPr>
        <w:t xml:space="preserve"> relativamente </w:t>
      </w:r>
      <w:r w:rsidR="00AA0CF3" w:rsidRPr="00372C49">
        <w:rPr>
          <w:rFonts w:cs="Calibri"/>
          <w:szCs w:val="20"/>
        </w:rPr>
        <w:t>all’anno precedente</w:t>
      </w:r>
      <w:r w:rsidRPr="00372C49">
        <w:rPr>
          <w:rFonts w:cs="Calibri"/>
          <w:szCs w:val="20"/>
        </w:rPr>
        <w:t xml:space="preserve">, </w:t>
      </w:r>
      <w:r w:rsidR="00AA0CF3" w:rsidRPr="00372C49">
        <w:rPr>
          <w:rFonts w:cs="Calibri"/>
          <w:szCs w:val="20"/>
        </w:rPr>
        <w:t xml:space="preserve">entro la </w:t>
      </w:r>
      <w:r w:rsidR="00571D63" w:rsidRPr="00372C49">
        <w:rPr>
          <w:rFonts w:cs="Calibri"/>
          <w:szCs w:val="20"/>
        </w:rPr>
        <w:t xml:space="preserve">data stabilita </w:t>
      </w:r>
      <w:r w:rsidR="00AA0CF3" w:rsidRPr="00372C49">
        <w:rPr>
          <w:rFonts w:cs="Calibri"/>
          <w:szCs w:val="20"/>
        </w:rPr>
        <w:t>e n</w:t>
      </w:r>
      <w:r w:rsidR="00D81B33" w:rsidRPr="00372C49">
        <w:rPr>
          <w:rFonts w:cs="Calibri"/>
          <w:szCs w:val="20"/>
        </w:rPr>
        <w:t xml:space="preserve">elle modalità </w:t>
      </w:r>
      <w:r w:rsidR="00AA0CF3" w:rsidRPr="00372C49">
        <w:rPr>
          <w:rFonts w:cs="Calibri"/>
          <w:szCs w:val="20"/>
        </w:rPr>
        <w:t xml:space="preserve">stabilite </w:t>
      </w:r>
      <w:r w:rsidR="00D81B33" w:rsidRPr="00372C49">
        <w:rPr>
          <w:rFonts w:cs="Calibri"/>
          <w:szCs w:val="20"/>
        </w:rPr>
        <w:t>da ANAC (</w:t>
      </w:r>
      <w:r w:rsidR="00AA0CF3" w:rsidRPr="00372C49">
        <w:rPr>
          <w:rFonts w:cs="Calibri"/>
          <w:szCs w:val="20"/>
        </w:rPr>
        <w:t xml:space="preserve">eventualmente tramite la funzione di </w:t>
      </w:r>
      <w:r w:rsidR="00D81B33" w:rsidRPr="00372C49">
        <w:rPr>
          <w:rFonts w:cs="Calibri"/>
          <w:szCs w:val="20"/>
        </w:rPr>
        <w:t>monitoraggio attraverso la Piattaforma)</w:t>
      </w:r>
      <w:r w:rsidR="00ED1E85" w:rsidRPr="00372C49">
        <w:rPr>
          <w:rFonts w:cs="Calibri"/>
          <w:szCs w:val="20"/>
        </w:rPr>
        <w:t>.</w:t>
      </w:r>
    </w:p>
    <w:p w:rsidR="00520C5E" w:rsidRDefault="00520C5E" w:rsidP="00520C5E">
      <w:pPr>
        <w:rPr>
          <w:rFonts w:cs="Calibri"/>
        </w:rPr>
      </w:pPr>
      <w:bookmarkStart w:id="28" w:name="_Toc28881613"/>
      <w:r w:rsidRPr="00B67FEC">
        <w:rPr>
          <w:rFonts w:cs="Calibri"/>
        </w:rPr>
        <w:t>Il Piano può essere modificato anche in corso d'anno, su proposta del Responsabile per la prevenzione della corruzione, allorché siano state accertate significative violazioni delle prescrizioni ovvero quando intervengano rilevanti mutamenti organizzativi o modifiche in ordine all'attività del</w:t>
      </w:r>
      <w:r w:rsidR="00F902C5" w:rsidRPr="00B67FEC">
        <w:rPr>
          <w:rFonts w:cs="Calibri"/>
        </w:rPr>
        <w:t>la Società</w:t>
      </w:r>
      <w:r w:rsidRPr="00B67FEC">
        <w:rPr>
          <w:rFonts w:cs="Calibri"/>
        </w:rPr>
        <w:t>.</w:t>
      </w:r>
    </w:p>
    <w:p w:rsidR="00993A40" w:rsidRPr="00B67FEC" w:rsidRDefault="00993A40" w:rsidP="00520C5E">
      <w:pPr>
        <w:rPr>
          <w:rFonts w:cs="Calibri"/>
          <w:b/>
          <w:bCs/>
          <w:i/>
          <w:iCs/>
        </w:rPr>
      </w:pPr>
    </w:p>
    <w:p w:rsidR="004A536A" w:rsidRPr="008E2618" w:rsidRDefault="00064581" w:rsidP="008E2618">
      <w:pPr>
        <w:pStyle w:val="Titolo3"/>
      </w:pPr>
      <w:bookmarkStart w:id="29" w:name="_Toc101602002"/>
      <w:r w:rsidRPr="008E2618">
        <w:t>Il coinvolgimento attivo degli organi di indirizzo politico amministrativo</w:t>
      </w:r>
      <w:r w:rsidR="00ED1E85" w:rsidRPr="008E2618">
        <w:t xml:space="preserve">, del Personale </w:t>
      </w:r>
      <w:r w:rsidR="00520C5E" w:rsidRPr="008E2618">
        <w:t xml:space="preserve">della </w:t>
      </w:r>
      <w:r w:rsidR="00F902C5" w:rsidRPr="008E2618">
        <w:t>Società</w:t>
      </w:r>
      <w:r w:rsidRPr="008E2618">
        <w:t xml:space="preserve"> e </w:t>
      </w:r>
      <w:r w:rsidR="00ED1E85" w:rsidRPr="008E2618">
        <w:t xml:space="preserve">degli altri </w:t>
      </w:r>
      <w:proofErr w:type="spellStart"/>
      <w:r w:rsidRPr="008E2618">
        <w:t>stakeholder</w:t>
      </w:r>
      <w:bookmarkEnd w:id="28"/>
      <w:bookmarkEnd w:id="29"/>
      <w:proofErr w:type="spellEnd"/>
    </w:p>
    <w:p w:rsidR="004A536A" w:rsidRPr="00372C49" w:rsidRDefault="00520C5E" w:rsidP="0049154B">
      <w:pPr>
        <w:rPr>
          <w:rFonts w:cs="Calibri"/>
          <w:bCs/>
          <w:szCs w:val="20"/>
        </w:rPr>
      </w:pPr>
      <w:r w:rsidRPr="00372C49">
        <w:rPr>
          <w:rFonts w:cs="Calibri"/>
          <w:bCs/>
          <w:szCs w:val="20"/>
        </w:rPr>
        <w:t>L’AU</w:t>
      </w:r>
    </w:p>
    <w:p w:rsidR="004A536A" w:rsidRPr="00372C49" w:rsidRDefault="004A536A" w:rsidP="00B67FEC">
      <w:pPr>
        <w:numPr>
          <w:ilvl w:val="0"/>
          <w:numId w:val="9"/>
        </w:numPr>
        <w:rPr>
          <w:rFonts w:cs="Calibri"/>
          <w:bCs/>
          <w:szCs w:val="20"/>
        </w:rPr>
      </w:pPr>
      <w:r w:rsidRPr="00372C49">
        <w:rPr>
          <w:rFonts w:cs="Calibri"/>
          <w:bCs/>
          <w:szCs w:val="20"/>
        </w:rPr>
        <w:t>assicura il proprio coinvolgimento attivo degli organi di indirizzo politico-amministrativo in una o più fasi della redazione dello stesso, su sollecitazione del RPC;</w:t>
      </w:r>
    </w:p>
    <w:p w:rsidR="004A536A" w:rsidRPr="00372C49" w:rsidRDefault="004A536A" w:rsidP="00B67FEC">
      <w:pPr>
        <w:numPr>
          <w:ilvl w:val="0"/>
          <w:numId w:val="9"/>
        </w:numPr>
        <w:rPr>
          <w:rFonts w:cs="Calibri"/>
          <w:bCs/>
          <w:szCs w:val="20"/>
        </w:rPr>
      </w:pPr>
      <w:r w:rsidRPr="00372C49">
        <w:rPr>
          <w:rFonts w:cs="Calibri"/>
          <w:bCs/>
          <w:szCs w:val="20"/>
        </w:rPr>
        <w:t>formula gli obiettivi strategici in materia di prevenzione della corruzione e trasparenza.</w:t>
      </w:r>
    </w:p>
    <w:p w:rsidR="004A536A" w:rsidRPr="00372C49" w:rsidRDefault="004A536A" w:rsidP="0049154B">
      <w:pPr>
        <w:rPr>
          <w:rFonts w:cs="Calibri"/>
          <w:bCs/>
          <w:szCs w:val="20"/>
        </w:rPr>
      </w:pPr>
    </w:p>
    <w:p w:rsidR="004A536A" w:rsidRPr="00372C49" w:rsidRDefault="00520C5E" w:rsidP="0049154B">
      <w:pPr>
        <w:rPr>
          <w:rFonts w:cs="Calibri"/>
          <w:bCs/>
          <w:szCs w:val="20"/>
        </w:rPr>
      </w:pPr>
      <w:r w:rsidRPr="00372C49">
        <w:rPr>
          <w:rFonts w:cs="Calibri"/>
          <w:bCs/>
          <w:szCs w:val="20"/>
        </w:rPr>
        <w:t xml:space="preserve">Il RPC, da questa edizione del </w:t>
      </w:r>
      <w:proofErr w:type="spellStart"/>
      <w:r w:rsidRPr="00372C49">
        <w:rPr>
          <w:rFonts w:cs="Calibri"/>
          <w:bCs/>
          <w:szCs w:val="20"/>
        </w:rPr>
        <w:t>PTPCeT</w:t>
      </w:r>
      <w:proofErr w:type="spellEnd"/>
      <w:r w:rsidRPr="00372C49">
        <w:rPr>
          <w:rFonts w:cs="Calibri"/>
          <w:bCs/>
          <w:szCs w:val="20"/>
        </w:rPr>
        <w:t>, provvede a stimolare gli attori coinvolti nel processo di redazione del Piano, attraverso opportune riunioni (con i Responsabili di Unità Organizzativa), richieste di collaborazione (verso il Comune di Segrate).</w:t>
      </w:r>
    </w:p>
    <w:p w:rsidR="00520C5E" w:rsidRPr="00372C49" w:rsidRDefault="00520C5E" w:rsidP="0049154B">
      <w:pPr>
        <w:rPr>
          <w:rFonts w:cs="Calibri"/>
          <w:bCs/>
          <w:szCs w:val="20"/>
        </w:rPr>
      </w:pPr>
    </w:p>
    <w:p w:rsidR="00520C5E" w:rsidRDefault="00520C5E" w:rsidP="00520C5E">
      <w:pPr>
        <w:rPr>
          <w:bCs/>
          <w:szCs w:val="20"/>
        </w:rPr>
      </w:pPr>
      <w:r w:rsidRPr="00372C49">
        <w:rPr>
          <w:bCs/>
          <w:szCs w:val="20"/>
        </w:rPr>
        <w:t xml:space="preserve">I Responsabili di Unità Organizzativa </w:t>
      </w:r>
      <w:r w:rsidR="00FB71D3" w:rsidRPr="00372C49">
        <w:rPr>
          <w:bCs/>
          <w:szCs w:val="20"/>
        </w:rPr>
        <w:t>(</w:t>
      </w:r>
      <w:r w:rsidR="007E21E7" w:rsidRPr="00372C49">
        <w:rPr>
          <w:bCs/>
          <w:szCs w:val="20"/>
        </w:rPr>
        <w:t>Direttore Società</w:t>
      </w:r>
      <w:r w:rsidRPr="00372C49">
        <w:rPr>
          <w:bCs/>
          <w:szCs w:val="20"/>
        </w:rPr>
        <w:t>, Direttori</w:t>
      </w:r>
      <w:r w:rsidR="00FB71D3" w:rsidRPr="00372C49">
        <w:rPr>
          <w:bCs/>
          <w:szCs w:val="20"/>
        </w:rPr>
        <w:t xml:space="preserve"> Farmacia</w:t>
      </w:r>
      <w:r w:rsidRPr="00372C49">
        <w:rPr>
          <w:bCs/>
          <w:szCs w:val="20"/>
        </w:rPr>
        <w:t>, Responsabili</w:t>
      </w:r>
      <w:r w:rsidR="00FB71D3" w:rsidRPr="00372C49">
        <w:rPr>
          <w:bCs/>
          <w:szCs w:val="20"/>
        </w:rPr>
        <w:t xml:space="preserve"> Servizi</w:t>
      </w:r>
      <w:r w:rsidRPr="00372C49">
        <w:rPr>
          <w:bCs/>
          <w:szCs w:val="20"/>
        </w:rPr>
        <w:t xml:space="preserve">) partecipano attivamente al processo di redazione e monitoraggio del Piano, assicurando la massima collaborazione e attestando l’adeguatezza della valutazione del rischio e delle misure specifiche di mitigazione dello stesso previste. </w:t>
      </w:r>
    </w:p>
    <w:p w:rsidR="00993A40" w:rsidRDefault="00993A40" w:rsidP="00520C5E">
      <w:pPr>
        <w:rPr>
          <w:bCs/>
          <w:szCs w:val="20"/>
        </w:rPr>
      </w:pPr>
    </w:p>
    <w:p w:rsidR="00993A40" w:rsidRPr="00DA60F3" w:rsidRDefault="00993A40" w:rsidP="00993A40">
      <w:pPr>
        <w:rPr>
          <w:bCs/>
          <w:szCs w:val="20"/>
        </w:rPr>
      </w:pPr>
      <w:r w:rsidRPr="00DA60F3">
        <w:rPr>
          <w:bCs/>
          <w:szCs w:val="20"/>
        </w:rPr>
        <w:t>B.1 il PTPCT è stato approvato attraverso un coinvolgimento attivo degli organi di indirizzo politico-amministrativo (AU nel caso di Segrate Servizi) nella redazione dello stesso, mediante invio preliminare della bozza di Piano triennale allo stesso.</w:t>
      </w:r>
    </w:p>
    <w:p w:rsidR="00993A40" w:rsidRPr="00DA60F3" w:rsidRDefault="00993A40" w:rsidP="00993A40">
      <w:pPr>
        <w:rPr>
          <w:bCs/>
          <w:szCs w:val="20"/>
        </w:rPr>
      </w:pPr>
      <w:r w:rsidRPr="00DA60F3">
        <w:rPr>
          <w:bCs/>
          <w:szCs w:val="20"/>
        </w:rPr>
        <w:t>B.2 L’organo di indirizzo politico-amministrativo (AU) formula gli obiettivi strategici in materia di prevenzione della corruzione e trasparenza direttamente nel piano nell’apposita sezione dello stesso.</w:t>
      </w:r>
    </w:p>
    <w:p w:rsidR="00993A40" w:rsidRPr="00DA60F3" w:rsidRDefault="00993A40" w:rsidP="00993A40">
      <w:pPr>
        <w:rPr>
          <w:bCs/>
          <w:szCs w:val="20"/>
        </w:rPr>
      </w:pPr>
      <w:r w:rsidRPr="00DA60F3">
        <w:rPr>
          <w:bCs/>
          <w:szCs w:val="20"/>
        </w:rPr>
        <w:t>B.3 L'organo di indirizzo politico-amministrativo (AU) ha esaminato un primo schema di PTPCT e, solo successivamente, ha approvato il PTPCT definitivo, senza però la formalizzazione dell’approvazione del primo schema</w:t>
      </w:r>
    </w:p>
    <w:p w:rsidR="00993A40" w:rsidRPr="00DA60F3" w:rsidRDefault="00993A40" w:rsidP="00993A40">
      <w:pPr>
        <w:rPr>
          <w:bCs/>
          <w:szCs w:val="20"/>
        </w:rPr>
      </w:pPr>
      <w:r w:rsidRPr="00DA60F3">
        <w:rPr>
          <w:bCs/>
          <w:szCs w:val="20"/>
        </w:rPr>
        <w:t>B.4 L'organo di indirizzo politico-amministrativo esprime pertanto un parere o e fornisce i suggerimenti di integrazione/modifica al PTPCT in fase di predisposizione e/o prima dell'approvazione</w:t>
      </w:r>
    </w:p>
    <w:p w:rsidR="00993A40" w:rsidRPr="00DA60F3" w:rsidRDefault="00993A40" w:rsidP="00993A40">
      <w:pPr>
        <w:rPr>
          <w:bCs/>
          <w:szCs w:val="20"/>
        </w:rPr>
      </w:pPr>
      <w:r w:rsidRPr="00DA60F3">
        <w:rPr>
          <w:bCs/>
          <w:szCs w:val="20"/>
        </w:rPr>
        <w:t>B.5 Non sono presenti due organi di indirizzo</w:t>
      </w:r>
    </w:p>
    <w:p w:rsidR="00993A40" w:rsidRPr="00DA60F3" w:rsidRDefault="00993A40" w:rsidP="00993A40">
      <w:pPr>
        <w:rPr>
          <w:bCs/>
          <w:szCs w:val="20"/>
        </w:rPr>
      </w:pPr>
      <w:r w:rsidRPr="00DA60F3">
        <w:rPr>
          <w:bCs/>
          <w:szCs w:val="20"/>
        </w:rPr>
        <w:t xml:space="preserve">B.6 Il Piano è approvato coinvolgendo gli </w:t>
      </w:r>
      <w:proofErr w:type="spellStart"/>
      <w:r w:rsidRPr="00DA60F3">
        <w:rPr>
          <w:bCs/>
          <w:szCs w:val="20"/>
        </w:rPr>
        <w:t>stakeholder</w:t>
      </w:r>
      <w:proofErr w:type="spellEnd"/>
      <w:r w:rsidRPr="00DA60F3">
        <w:rPr>
          <w:bCs/>
          <w:szCs w:val="20"/>
        </w:rPr>
        <w:t xml:space="preserve"> esterni (consultazione pubblica), con la seguente B.7 modalità di coinvolgimento:</w:t>
      </w:r>
    </w:p>
    <w:p w:rsidR="00993A40" w:rsidRPr="00DA60F3" w:rsidRDefault="00993A40" w:rsidP="00993A40">
      <w:pPr>
        <w:rPr>
          <w:bCs/>
          <w:szCs w:val="20"/>
        </w:rPr>
      </w:pPr>
      <w:r w:rsidRPr="00DA60F3">
        <w:rPr>
          <w:bCs/>
          <w:szCs w:val="20"/>
        </w:rPr>
        <w:lastRenderedPageBreak/>
        <w:t xml:space="preserve">B.7.2 Tramite </w:t>
      </w:r>
      <w:proofErr w:type="spellStart"/>
      <w:r w:rsidRPr="00DA60F3">
        <w:rPr>
          <w:bCs/>
          <w:szCs w:val="20"/>
        </w:rPr>
        <w:t>form</w:t>
      </w:r>
      <w:proofErr w:type="spellEnd"/>
      <w:r w:rsidRPr="00DA60F3">
        <w:rPr>
          <w:bCs/>
          <w:szCs w:val="20"/>
        </w:rPr>
        <w:t>/avviso sul sito web istituzionale (o canali assimilati) in cui è stato pubblicato il PTPCT del triennio precedente.</w:t>
      </w:r>
    </w:p>
    <w:p w:rsidR="00993A40" w:rsidRPr="00DA60F3" w:rsidRDefault="00993A40" w:rsidP="00993A40">
      <w:pPr>
        <w:rPr>
          <w:bCs/>
          <w:szCs w:val="20"/>
        </w:rPr>
      </w:pPr>
      <w:r w:rsidRPr="00DA60F3">
        <w:rPr>
          <w:bCs/>
          <w:szCs w:val="20"/>
        </w:rPr>
        <w:t xml:space="preserve">Il link all’avviso pubblicato sul sito è il seguente: </w:t>
      </w:r>
    </w:p>
    <w:p w:rsidR="001624E8" w:rsidRPr="00DA60F3" w:rsidRDefault="00787A42" w:rsidP="00993A40">
      <w:pPr>
        <w:rPr>
          <w:bCs/>
          <w:szCs w:val="20"/>
        </w:rPr>
      </w:pPr>
      <w:hyperlink r:id="rId9" w:history="1">
        <w:r w:rsidR="001624E8" w:rsidRPr="00DA60F3">
          <w:rPr>
            <w:rStyle w:val="Collegamentoipertestuale"/>
            <w:bCs/>
            <w:color w:val="auto"/>
            <w:szCs w:val="20"/>
          </w:rPr>
          <w:t>http://trasparenza.segrateservizi.it/?p=573545</w:t>
        </w:r>
      </w:hyperlink>
    </w:p>
    <w:p w:rsidR="00993A40" w:rsidRPr="00DA60F3" w:rsidRDefault="00993A40" w:rsidP="00993A40">
      <w:pPr>
        <w:rPr>
          <w:bCs/>
          <w:szCs w:val="20"/>
        </w:rPr>
      </w:pPr>
      <w:r w:rsidRPr="00DA60F3">
        <w:rPr>
          <w:bCs/>
          <w:szCs w:val="20"/>
        </w:rPr>
        <w:t xml:space="preserve">B.8 Gli esiti della consultazione sono riportati nel PTPCT, in quanto si attesta che sono pervenute n. </w:t>
      </w:r>
      <w:r w:rsidR="001624E8" w:rsidRPr="00DA60F3">
        <w:rPr>
          <w:bCs/>
          <w:szCs w:val="20"/>
        </w:rPr>
        <w:t>0</w:t>
      </w:r>
      <w:r w:rsidRPr="00DA60F3">
        <w:rPr>
          <w:bCs/>
          <w:szCs w:val="20"/>
        </w:rPr>
        <w:t xml:space="preserve"> osservazion</w:t>
      </w:r>
      <w:r w:rsidR="001624E8" w:rsidRPr="00DA60F3">
        <w:rPr>
          <w:bCs/>
          <w:szCs w:val="20"/>
        </w:rPr>
        <w:t>i</w:t>
      </w:r>
      <w:r w:rsidRPr="00DA60F3">
        <w:rPr>
          <w:bCs/>
          <w:szCs w:val="20"/>
        </w:rPr>
        <w:t xml:space="preserve"> estern</w:t>
      </w:r>
      <w:r w:rsidR="001624E8" w:rsidRPr="00DA60F3">
        <w:rPr>
          <w:bCs/>
          <w:szCs w:val="20"/>
        </w:rPr>
        <w:t>e</w:t>
      </w:r>
      <w:r w:rsidRPr="00DA60F3">
        <w:rPr>
          <w:bCs/>
          <w:szCs w:val="20"/>
        </w:rPr>
        <w:t xml:space="preserve"> in merito e n. </w:t>
      </w:r>
      <w:r w:rsidR="001624E8" w:rsidRPr="00DA60F3">
        <w:rPr>
          <w:bCs/>
          <w:szCs w:val="20"/>
        </w:rPr>
        <w:t>0</w:t>
      </w:r>
      <w:r w:rsidRPr="00DA60F3">
        <w:rPr>
          <w:bCs/>
          <w:szCs w:val="20"/>
        </w:rPr>
        <w:t xml:space="preserve"> osservazioni interne.</w:t>
      </w:r>
    </w:p>
    <w:p w:rsidR="00993A40" w:rsidRPr="00993A40" w:rsidRDefault="00993A40" w:rsidP="00520C5E">
      <w:pPr>
        <w:rPr>
          <w:bCs/>
          <w:color w:val="C00000"/>
          <w:szCs w:val="20"/>
        </w:rPr>
      </w:pPr>
    </w:p>
    <w:p w:rsidR="004A536A" w:rsidRPr="00B67FEC" w:rsidRDefault="004A536A" w:rsidP="0049154B">
      <w:pPr>
        <w:pStyle w:val="Titolo1"/>
        <w:rPr>
          <w:rFonts w:cs="Calibri"/>
        </w:rPr>
      </w:pPr>
      <w:bookmarkStart w:id="30" w:name="_Toc28881614"/>
      <w:bookmarkStart w:id="31" w:name="_Toc28966873"/>
      <w:bookmarkStart w:id="32" w:name="_Toc28967093"/>
      <w:bookmarkStart w:id="33" w:name="_Toc28967345"/>
      <w:bookmarkStart w:id="34" w:name="_Toc101602003"/>
      <w:r w:rsidRPr="00B67FEC">
        <w:rPr>
          <w:rFonts w:cs="Calibri"/>
        </w:rPr>
        <w:t xml:space="preserve">C. SISTEMA </w:t>
      </w:r>
      <w:proofErr w:type="spellStart"/>
      <w:r w:rsidRPr="00B67FEC">
        <w:rPr>
          <w:rFonts w:cs="Calibri"/>
        </w:rPr>
        <w:t>DI</w:t>
      </w:r>
      <w:proofErr w:type="spellEnd"/>
      <w:r w:rsidRPr="00B67FEC">
        <w:rPr>
          <w:rFonts w:cs="Calibri"/>
        </w:rPr>
        <w:t xml:space="preserve"> GOVERNANCE</w:t>
      </w:r>
      <w:bookmarkEnd w:id="30"/>
      <w:bookmarkEnd w:id="31"/>
      <w:bookmarkEnd w:id="32"/>
      <w:bookmarkEnd w:id="33"/>
      <w:bookmarkEnd w:id="34"/>
    </w:p>
    <w:p w:rsidR="002F1DC9" w:rsidRPr="00B67FEC" w:rsidRDefault="002F1DC9" w:rsidP="0049154B">
      <w:pPr>
        <w:rPr>
          <w:rFonts w:cs="Calibri"/>
          <w:szCs w:val="20"/>
        </w:rPr>
      </w:pPr>
      <w:r w:rsidRPr="00B67FEC">
        <w:rPr>
          <w:rFonts w:cs="Calibri"/>
          <w:szCs w:val="20"/>
        </w:rPr>
        <w:t xml:space="preserve">I soggetti che concorrono alla prevenzione della corruzione all’interno </w:t>
      </w:r>
      <w:r w:rsidR="002021DD" w:rsidRPr="00B67FEC">
        <w:rPr>
          <w:rFonts w:eastAsia="MS Mincho" w:cs="Calibri"/>
          <w:szCs w:val="20"/>
          <w:lang w:eastAsia="ja-JP"/>
        </w:rPr>
        <w:t xml:space="preserve">di </w:t>
      </w:r>
      <w:r w:rsidR="00EC0950">
        <w:rPr>
          <w:rFonts w:eastAsia="MS Mincho" w:cs="Calibri"/>
          <w:szCs w:val="20"/>
          <w:lang w:eastAsia="ja-JP"/>
        </w:rPr>
        <w:t>Segrate Servizi Srl</w:t>
      </w:r>
      <w:r w:rsidR="00F931EB" w:rsidRPr="00B67FEC">
        <w:rPr>
          <w:rFonts w:cs="Calibri"/>
          <w:szCs w:val="20"/>
        </w:rPr>
        <w:t xml:space="preserve"> </w:t>
      </w:r>
      <w:r w:rsidRPr="00B67FEC">
        <w:rPr>
          <w:rFonts w:cs="Calibri"/>
          <w:szCs w:val="20"/>
        </w:rPr>
        <w:t>e i relativi compiti e funzioni sono:</w:t>
      </w:r>
    </w:p>
    <w:p w:rsidR="002F1DC9" w:rsidRPr="008F710D" w:rsidRDefault="0049154B" w:rsidP="008E2618">
      <w:pPr>
        <w:pStyle w:val="Titolo3"/>
      </w:pPr>
      <w:bookmarkStart w:id="35" w:name="_Toc28881615"/>
      <w:bookmarkStart w:id="36" w:name="_Toc28966874"/>
      <w:bookmarkStart w:id="37" w:name="_Toc28967094"/>
      <w:bookmarkStart w:id="38" w:name="_Toc28967346"/>
      <w:bookmarkStart w:id="39" w:name="_Toc101602004"/>
      <w:r w:rsidRPr="008F710D">
        <w:t xml:space="preserve">Sottosezione </w:t>
      </w:r>
      <w:r w:rsidR="00391379" w:rsidRPr="008F710D">
        <w:t>Organo di indirizzo</w:t>
      </w:r>
      <w:r w:rsidR="00F931EB" w:rsidRPr="008F710D">
        <w:t xml:space="preserve"> </w:t>
      </w:r>
      <w:r w:rsidR="00AA0CF3" w:rsidRPr="008F710D">
        <w:t>–</w:t>
      </w:r>
      <w:r w:rsidR="00F931EB" w:rsidRPr="008F710D">
        <w:t xml:space="preserve"> </w:t>
      </w:r>
      <w:bookmarkEnd w:id="35"/>
      <w:bookmarkEnd w:id="36"/>
      <w:bookmarkEnd w:id="37"/>
      <w:bookmarkEnd w:id="38"/>
      <w:r w:rsidR="00AA0CF3" w:rsidRPr="008F710D">
        <w:t>AU</w:t>
      </w:r>
      <w:bookmarkEnd w:id="39"/>
    </w:p>
    <w:p w:rsidR="00520C5E" w:rsidRPr="00CF0A5C" w:rsidRDefault="00F902C5" w:rsidP="00520C5E">
      <w:pPr>
        <w:numPr>
          <w:ilvl w:val="0"/>
          <w:numId w:val="2"/>
        </w:numPr>
        <w:rPr>
          <w:rFonts w:cs="Calibri"/>
          <w:szCs w:val="20"/>
        </w:rPr>
      </w:pPr>
      <w:r w:rsidRPr="00CF0A5C">
        <w:rPr>
          <w:rFonts w:cs="Calibri"/>
          <w:szCs w:val="20"/>
        </w:rPr>
        <w:t>Designa</w:t>
      </w:r>
      <w:r w:rsidR="00520C5E" w:rsidRPr="00CF0A5C">
        <w:rPr>
          <w:rFonts w:cs="Calibri"/>
          <w:szCs w:val="20"/>
        </w:rPr>
        <w:t xml:space="preserve"> il responsabile dell’Anticorruzione (art. 1, comma 7, della l. n. 190);</w:t>
      </w:r>
    </w:p>
    <w:p w:rsidR="003D5747" w:rsidRPr="00B67FEC" w:rsidRDefault="00F902C5" w:rsidP="007A706B">
      <w:pPr>
        <w:numPr>
          <w:ilvl w:val="0"/>
          <w:numId w:val="2"/>
        </w:numPr>
        <w:rPr>
          <w:rFonts w:cs="Calibri"/>
          <w:szCs w:val="20"/>
        </w:rPr>
      </w:pPr>
      <w:r w:rsidRPr="00520C5E">
        <w:rPr>
          <w:rFonts w:cs="Calibri"/>
          <w:szCs w:val="20"/>
        </w:rPr>
        <w:t>Adotta</w:t>
      </w:r>
      <w:r w:rsidR="00520C5E" w:rsidRPr="00520C5E">
        <w:rPr>
          <w:rFonts w:cs="Calibri"/>
          <w:szCs w:val="20"/>
        </w:rPr>
        <w:t xml:space="preserve"> e aggiorna MOG 231 e allegati (compreso </w:t>
      </w:r>
      <w:proofErr w:type="spellStart"/>
      <w:r w:rsidR="00520C5E" w:rsidRPr="00520C5E">
        <w:rPr>
          <w:rFonts w:cs="Calibri"/>
          <w:szCs w:val="20"/>
        </w:rPr>
        <w:t>PTPCeT</w:t>
      </w:r>
      <w:proofErr w:type="spellEnd"/>
      <w:r w:rsidR="00520C5E" w:rsidRPr="00520C5E">
        <w:rPr>
          <w:rFonts w:cs="Calibri"/>
          <w:szCs w:val="20"/>
        </w:rPr>
        <w:t xml:space="preserve">), </w:t>
      </w:r>
      <w:r w:rsidR="00520C5E" w:rsidRPr="00B67FEC">
        <w:rPr>
          <w:rFonts w:cs="Calibri"/>
          <w:szCs w:val="20"/>
        </w:rPr>
        <w:t>visto</w:t>
      </w:r>
      <w:r w:rsidR="003D5747" w:rsidRPr="00B67FEC">
        <w:rPr>
          <w:rFonts w:cs="Calibri"/>
          <w:szCs w:val="20"/>
        </w:rPr>
        <w:t xml:space="preserve"> l’obbligo, per i soggetti tenuti, di adottare un nuovo completo </w:t>
      </w:r>
      <w:proofErr w:type="spellStart"/>
      <w:r w:rsidR="003D5747" w:rsidRPr="00B67FEC">
        <w:rPr>
          <w:rFonts w:cs="Calibri"/>
          <w:szCs w:val="20"/>
        </w:rPr>
        <w:t>PTPC</w:t>
      </w:r>
      <w:r w:rsidR="00F54AE7" w:rsidRPr="00B67FEC">
        <w:rPr>
          <w:rFonts w:cs="Calibri"/>
          <w:szCs w:val="20"/>
        </w:rPr>
        <w:t>eT</w:t>
      </w:r>
      <w:proofErr w:type="spellEnd"/>
      <w:r w:rsidR="003D5747" w:rsidRPr="00B67FEC">
        <w:rPr>
          <w:rFonts w:cs="Calibri"/>
          <w:szCs w:val="20"/>
        </w:rPr>
        <w:t xml:space="preserve"> entro il 31 gennaio di og</w:t>
      </w:r>
      <w:r w:rsidR="00D81B33" w:rsidRPr="00B67FEC">
        <w:rPr>
          <w:rFonts w:cs="Calibri"/>
          <w:szCs w:val="20"/>
        </w:rPr>
        <w:t>ni anno;</w:t>
      </w:r>
    </w:p>
    <w:p w:rsidR="002F1DC9" w:rsidRPr="00B67FEC" w:rsidRDefault="00F902C5" w:rsidP="007168E3">
      <w:pPr>
        <w:numPr>
          <w:ilvl w:val="0"/>
          <w:numId w:val="2"/>
        </w:numPr>
        <w:rPr>
          <w:rFonts w:cs="Calibri"/>
          <w:szCs w:val="20"/>
        </w:rPr>
      </w:pPr>
      <w:r w:rsidRPr="00B67FEC">
        <w:rPr>
          <w:rFonts w:cs="Calibri"/>
          <w:szCs w:val="20"/>
        </w:rPr>
        <w:t>Adotta</w:t>
      </w:r>
      <w:r w:rsidR="002F1DC9" w:rsidRPr="00B67FEC">
        <w:rPr>
          <w:rFonts w:cs="Calibri"/>
          <w:szCs w:val="20"/>
        </w:rPr>
        <w:t xml:space="preserve"> tutti gli atti di indirizzo di carattere generale, che siano direttamente o indirettamente finalizzati alla prevenzione della corruzione;</w:t>
      </w:r>
    </w:p>
    <w:p w:rsidR="00AA0CF3" w:rsidRPr="00B67FEC" w:rsidRDefault="00F902C5" w:rsidP="00AA0CF3">
      <w:pPr>
        <w:numPr>
          <w:ilvl w:val="0"/>
          <w:numId w:val="2"/>
        </w:numPr>
        <w:rPr>
          <w:rFonts w:cs="Calibri"/>
          <w:szCs w:val="20"/>
        </w:rPr>
      </w:pPr>
      <w:r w:rsidRPr="00B67FEC">
        <w:rPr>
          <w:rFonts w:cs="Calibri"/>
          <w:szCs w:val="20"/>
        </w:rPr>
        <w:t>Propone</w:t>
      </w:r>
      <w:r w:rsidR="009A3EB9" w:rsidRPr="00B67FEC">
        <w:rPr>
          <w:rFonts w:cs="Calibri"/>
          <w:szCs w:val="20"/>
        </w:rPr>
        <w:t xml:space="preserve"> lo stanziamento delle risorse economiche</w:t>
      </w:r>
      <w:r w:rsidR="00836A81" w:rsidRPr="00B67FEC">
        <w:rPr>
          <w:rFonts w:cs="Calibri"/>
          <w:szCs w:val="20"/>
        </w:rPr>
        <w:t xml:space="preserve"> necessarie ad attuare il Piano.</w:t>
      </w:r>
    </w:p>
    <w:p w:rsidR="00520C5E" w:rsidRPr="001624E8" w:rsidRDefault="00520C5E" w:rsidP="008E2618">
      <w:pPr>
        <w:pStyle w:val="Titolo3"/>
      </w:pPr>
      <w:bookmarkStart w:id="40" w:name="_Toc101602005"/>
      <w:r>
        <w:t xml:space="preserve">Sottosezione </w:t>
      </w:r>
      <w:r w:rsidRPr="00520C5E">
        <w:t xml:space="preserve">Responsabile per la prevenzione della corruzione </w:t>
      </w:r>
      <w:r w:rsidR="00F902C5">
        <w:t xml:space="preserve">e trasparenza </w:t>
      </w:r>
      <w:r w:rsidR="001624E8">
        <w:t>–</w:t>
      </w:r>
      <w:r w:rsidR="00F21B61">
        <w:t xml:space="preserve"> </w:t>
      </w:r>
      <w:r w:rsidR="00F21B61" w:rsidRPr="00DA60F3">
        <w:t>RPC</w:t>
      </w:r>
      <w:r w:rsidR="001624E8" w:rsidRPr="00DA60F3">
        <w:t xml:space="preserve"> </w:t>
      </w:r>
      <w:r w:rsidR="001624E8" w:rsidRPr="00DA60F3">
        <w:rPr>
          <w:rFonts w:cstheme="minorHAnsi"/>
        </w:rPr>
        <w:t xml:space="preserve">poteri di interlocuzione e </w:t>
      </w:r>
      <w:proofErr w:type="spellStart"/>
      <w:r w:rsidR="001624E8" w:rsidRPr="00DA60F3">
        <w:rPr>
          <w:rFonts w:cstheme="minorHAnsi"/>
        </w:rPr>
        <w:t>controllo|</w:t>
      </w:r>
      <w:proofErr w:type="spellEnd"/>
      <w:r w:rsidR="001624E8" w:rsidRPr="00DA60F3">
        <w:rPr>
          <w:rFonts w:cstheme="minorHAnsi"/>
        </w:rPr>
        <w:t xml:space="preserve"> C.1</w:t>
      </w:r>
      <w:bookmarkEnd w:id="40"/>
    </w:p>
    <w:p w:rsidR="00F902C5" w:rsidRPr="00B67FEC" w:rsidRDefault="00F902C5" w:rsidP="00B67FEC">
      <w:pPr>
        <w:numPr>
          <w:ilvl w:val="0"/>
          <w:numId w:val="19"/>
        </w:numPr>
        <w:rPr>
          <w:rFonts w:cs="Calibri"/>
          <w:szCs w:val="20"/>
        </w:rPr>
      </w:pPr>
      <w:r w:rsidRPr="00B67FEC">
        <w:rPr>
          <w:rFonts w:cs="Calibri"/>
          <w:szCs w:val="20"/>
        </w:rPr>
        <w:t>Elabora e propone all’AU l’allegato tecnico al MOG 231 - PTPC;</w:t>
      </w:r>
    </w:p>
    <w:p w:rsidR="00F902C5" w:rsidRPr="00B67FEC" w:rsidRDefault="00F902C5" w:rsidP="00B67FEC">
      <w:pPr>
        <w:numPr>
          <w:ilvl w:val="0"/>
          <w:numId w:val="19"/>
        </w:numPr>
        <w:rPr>
          <w:rFonts w:cs="Calibri"/>
          <w:szCs w:val="20"/>
        </w:rPr>
      </w:pPr>
      <w:r w:rsidRPr="00B67FEC">
        <w:rPr>
          <w:rFonts w:cs="Calibri"/>
          <w:szCs w:val="20"/>
        </w:rPr>
        <w:t xml:space="preserve">Svolge i compiti indicati nella circolare del Dipartimento della funzione pubblica n. 1 del 2013 e i compiti di vigilanza sul rispetto delle norme in materia di </w:t>
      </w:r>
      <w:proofErr w:type="spellStart"/>
      <w:r w:rsidRPr="00B67FEC">
        <w:rPr>
          <w:rFonts w:cs="Calibri"/>
          <w:szCs w:val="20"/>
        </w:rPr>
        <w:t>inconferibilità</w:t>
      </w:r>
      <w:proofErr w:type="spellEnd"/>
      <w:r w:rsidRPr="00B67FEC">
        <w:rPr>
          <w:rFonts w:cs="Calibri"/>
          <w:szCs w:val="20"/>
        </w:rPr>
        <w:t xml:space="preserve"> e incompatibilità (art. </w:t>
      </w:r>
      <w:smartTag w:uri="urn:schemas-microsoft-com:office:smarttags" w:element="metricconverter">
        <w:smartTagPr>
          <w:attr w:name="ProductID" w:val="1 l"/>
        </w:smartTagPr>
        <w:r w:rsidRPr="00B67FEC">
          <w:rPr>
            <w:rFonts w:cs="Calibri"/>
            <w:szCs w:val="20"/>
          </w:rPr>
          <w:t>1 l</w:t>
        </w:r>
      </w:smartTag>
      <w:r w:rsidRPr="00B67FEC">
        <w:rPr>
          <w:rFonts w:cs="Calibri"/>
          <w:szCs w:val="20"/>
        </w:rPr>
        <w:t xml:space="preserve">. n. 190 del 2013; art. 15 d.lgs. n. 39 del 2013);  </w:t>
      </w:r>
    </w:p>
    <w:p w:rsidR="00F902C5" w:rsidRPr="00B67FEC" w:rsidRDefault="00F902C5" w:rsidP="00B67FEC">
      <w:pPr>
        <w:numPr>
          <w:ilvl w:val="0"/>
          <w:numId w:val="19"/>
        </w:numPr>
        <w:rPr>
          <w:rFonts w:cs="Calibri"/>
          <w:szCs w:val="20"/>
        </w:rPr>
      </w:pPr>
      <w:r w:rsidRPr="00B67FEC">
        <w:rPr>
          <w:rFonts w:cs="Calibri"/>
          <w:szCs w:val="20"/>
        </w:rPr>
        <w:t>Elabora la relazione annuale sull’attività svolta e ne assicura la pubblicazione (art. 1, comma 14, del 2012);</w:t>
      </w:r>
    </w:p>
    <w:p w:rsidR="00F902C5" w:rsidRPr="00F902C5" w:rsidRDefault="00F902C5" w:rsidP="00B67FEC">
      <w:pPr>
        <w:numPr>
          <w:ilvl w:val="0"/>
          <w:numId w:val="19"/>
        </w:numPr>
        <w:rPr>
          <w:rFonts w:cs="Calibri"/>
          <w:szCs w:val="20"/>
        </w:rPr>
      </w:pPr>
      <w:r w:rsidRPr="00F902C5">
        <w:rPr>
          <w:rFonts w:cs="Calibri"/>
          <w:szCs w:val="20"/>
        </w:rPr>
        <w:t>Svolge stabilmente un’attività di controllo sull'adempimento da parte della Società degli obblighi di pubblicazione previsti dalla normativa vigente;</w:t>
      </w:r>
    </w:p>
    <w:p w:rsidR="00F902C5" w:rsidRPr="00F902C5" w:rsidRDefault="00F902C5" w:rsidP="00B67FEC">
      <w:pPr>
        <w:numPr>
          <w:ilvl w:val="0"/>
          <w:numId w:val="19"/>
        </w:numPr>
        <w:rPr>
          <w:rFonts w:cs="Calibri"/>
          <w:szCs w:val="20"/>
        </w:rPr>
      </w:pPr>
      <w:r w:rsidRPr="00F902C5">
        <w:rPr>
          <w:rFonts w:cs="Calibri"/>
          <w:szCs w:val="20"/>
        </w:rPr>
        <w:t xml:space="preserve">Assicura la completezza, la chiarezza e l'aggiornamento delle informazioni pubblicate sulla sezione Società Trasparente del sito di </w:t>
      </w:r>
      <w:r w:rsidR="00EC0950">
        <w:rPr>
          <w:rFonts w:cs="Calibri"/>
          <w:szCs w:val="20"/>
        </w:rPr>
        <w:t>Segrate Servizi Srl</w:t>
      </w:r>
      <w:r w:rsidRPr="00F902C5">
        <w:rPr>
          <w:rFonts w:cs="Calibri"/>
          <w:szCs w:val="20"/>
        </w:rPr>
        <w:t xml:space="preserve"> </w:t>
      </w:r>
      <w:proofErr w:type="spellStart"/>
      <w:r>
        <w:rPr>
          <w:rFonts w:cs="Calibri"/>
          <w:szCs w:val="20"/>
        </w:rPr>
        <w:t>Srl</w:t>
      </w:r>
      <w:proofErr w:type="spellEnd"/>
      <w:r w:rsidRPr="00F902C5">
        <w:rPr>
          <w:rFonts w:cs="Calibri"/>
          <w:szCs w:val="20"/>
        </w:rPr>
        <w:t>;</w:t>
      </w:r>
    </w:p>
    <w:p w:rsidR="00F902C5" w:rsidRPr="00F902C5" w:rsidRDefault="00F902C5" w:rsidP="00B67FEC">
      <w:pPr>
        <w:numPr>
          <w:ilvl w:val="0"/>
          <w:numId w:val="19"/>
        </w:numPr>
        <w:rPr>
          <w:rFonts w:cs="Calibri"/>
          <w:szCs w:val="20"/>
        </w:rPr>
      </w:pPr>
      <w:r w:rsidRPr="00F902C5">
        <w:rPr>
          <w:rFonts w:cs="Calibri"/>
          <w:szCs w:val="20"/>
        </w:rPr>
        <w:t>Segnala all’AU, all’Organismo di Vigilanza, all’Autorità nazionale anticorruzione e, nei casi più gravi, all'ufficio di disciplina i casi di mancato o ritardato adempimento degli obblighi di pubblicazione;</w:t>
      </w:r>
    </w:p>
    <w:p w:rsidR="00F902C5" w:rsidRPr="00B67FEC" w:rsidRDefault="00F902C5" w:rsidP="00B67FEC">
      <w:pPr>
        <w:numPr>
          <w:ilvl w:val="0"/>
          <w:numId w:val="19"/>
        </w:numPr>
        <w:rPr>
          <w:rFonts w:cs="Calibri"/>
          <w:szCs w:val="20"/>
        </w:rPr>
      </w:pPr>
      <w:r w:rsidRPr="00F902C5">
        <w:rPr>
          <w:rFonts w:cs="Calibri"/>
          <w:szCs w:val="20"/>
        </w:rPr>
        <w:t xml:space="preserve">Riceve e gestisce le richieste di accesso civico semplice e generalizzato di cui agli </w:t>
      </w:r>
      <w:proofErr w:type="spellStart"/>
      <w:r w:rsidRPr="00F902C5">
        <w:rPr>
          <w:rFonts w:cs="Calibri"/>
          <w:szCs w:val="20"/>
        </w:rPr>
        <w:t>art</w:t>
      </w:r>
      <w:r w:rsidR="00FB71D3">
        <w:rPr>
          <w:rFonts w:cs="Calibri"/>
          <w:szCs w:val="20"/>
        </w:rPr>
        <w:t>t-</w:t>
      </w:r>
      <w:proofErr w:type="spellEnd"/>
      <w:r w:rsidR="00FB71D3">
        <w:rPr>
          <w:rFonts w:cs="Calibri"/>
          <w:szCs w:val="20"/>
        </w:rPr>
        <w:t xml:space="preserve"> 5 e 5 bis del d.lgs. 33/2013.</w:t>
      </w:r>
    </w:p>
    <w:p w:rsidR="00F902C5" w:rsidRPr="00F902C5" w:rsidRDefault="00F902C5" w:rsidP="00F902C5">
      <w:pPr>
        <w:rPr>
          <w:rFonts w:cs="Calibri"/>
          <w:szCs w:val="20"/>
        </w:rPr>
      </w:pPr>
      <w:r w:rsidRPr="00F902C5">
        <w:rPr>
          <w:rFonts w:cs="Calibri"/>
          <w:szCs w:val="20"/>
        </w:rPr>
        <w:t xml:space="preserve">Come da delibera ANAC n. 840 del 2 ottobre 2018, il ruolo del RPCT è quello predisporre adeguati strumenti interni </w:t>
      </w:r>
      <w:r>
        <w:rPr>
          <w:rFonts w:cs="Calibri"/>
          <w:szCs w:val="20"/>
        </w:rPr>
        <w:t xml:space="preserve">alla Società </w:t>
      </w:r>
      <w:r w:rsidRPr="00F902C5">
        <w:rPr>
          <w:rFonts w:cs="Calibri"/>
          <w:szCs w:val="20"/>
        </w:rPr>
        <w:t>per contrastare l’insorgenza di fenomeni corruttivi.</w:t>
      </w:r>
    </w:p>
    <w:p w:rsidR="00F902C5" w:rsidRPr="00F902C5" w:rsidRDefault="00F902C5" w:rsidP="00F902C5">
      <w:pPr>
        <w:rPr>
          <w:rFonts w:cs="Calibri"/>
          <w:szCs w:val="20"/>
        </w:rPr>
      </w:pPr>
      <w:r w:rsidRPr="00F902C5">
        <w:rPr>
          <w:rFonts w:cs="Calibri"/>
          <w:szCs w:val="20"/>
        </w:rPr>
        <w:lastRenderedPageBreak/>
        <w:t xml:space="preserve">In tale quadro, è escluso che al RPCT spetti accertare responsabilità e svolgere direttamente controlli di legittimità e di regolarità amministrativa e contabile. </w:t>
      </w:r>
    </w:p>
    <w:p w:rsidR="00F902C5" w:rsidRPr="00F902C5" w:rsidRDefault="00F902C5" w:rsidP="00F902C5">
      <w:pPr>
        <w:rPr>
          <w:rFonts w:cs="Calibri"/>
          <w:szCs w:val="20"/>
        </w:rPr>
      </w:pPr>
      <w:r w:rsidRPr="00F902C5">
        <w:rPr>
          <w:rFonts w:cs="Calibri"/>
          <w:szCs w:val="20"/>
        </w:rPr>
        <w:t xml:space="preserve">Sui poteri istruttori, e relativi limiti, del RPCT in caso di segnalazioni di fatti di natura corruttiva il RPCT può acquisire direttamente atti e documenti o svolgere audizioni di dipendenti nella misura in cui ciò consenta al RPCT di avere una più chiara ricostruzione dei fatti oggetto della segnalazione. </w:t>
      </w:r>
    </w:p>
    <w:p w:rsidR="00F902C5" w:rsidRPr="00F902C5" w:rsidRDefault="00F902C5" w:rsidP="00F902C5">
      <w:pPr>
        <w:rPr>
          <w:rFonts w:cs="Calibri"/>
          <w:szCs w:val="20"/>
        </w:rPr>
      </w:pPr>
      <w:r w:rsidRPr="00F902C5">
        <w:rPr>
          <w:rFonts w:cs="Calibri"/>
          <w:szCs w:val="20"/>
        </w:rPr>
        <w:t xml:space="preserve">Come già indicato dall’Autorità è da escludere, per evitare che vi siano situazioni di coincidenza di ruoli fra controllore e controllato, che il RPCT possa ricoprire anche il ruolo di componente o di presidente dell’Organismo di valutazione (NV). </w:t>
      </w:r>
    </w:p>
    <w:p w:rsidR="00F902C5" w:rsidRPr="00B67FEC" w:rsidRDefault="00F902C5" w:rsidP="00F902C5">
      <w:pPr>
        <w:rPr>
          <w:rFonts w:cs="Calibri"/>
          <w:szCs w:val="20"/>
        </w:rPr>
      </w:pPr>
      <w:r w:rsidRPr="00F902C5">
        <w:rPr>
          <w:rFonts w:cs="Calibri"/>
          <w:szCs w:val="20"/>
        </w:rPr>
        <w:t>Nel PNA 2018 sono riportati una tabella riepilogativa delle disposizioni normative che riguardano il RPCT, cui si rimanda integralmente.</w:t>
      </w:r>
    </w:p>
    <w:p w:rsidR="00F902C5" w:rsidRPr="00B67FEC" w:rsidRDefault="00F902C5" w:rsidP="000F6D08">
      <w:pPr>
        <w:rPr>
          <w:rFonts w:cs="Calibri"/>
          <w:b/>
          <w:szCs w:val="20"/>
        </w:rPr>
      </w:pPr>
      <w:r w:rsidRPr="00B67FEC">
        <w:rPr>
          <w:rFonts w:cs="Calibri"/>
          <w:b/>
          <w:szCs w:val="20"/>
        </w:rPr>
        <w:t xml:space="preserve">Per </w:t>
      </w:r>
      <w:r w:rsidR="00EC0950">
        <w:rPr>
          <w:rFonts w:cs="Calibri"/>
          <w:b/>
          <w:szCs w:val="20"/>
        </w:rPr>
        <w:t>Segrate Servizi Srl</w:t>
      </w:r>
      <w:r w:rsidRPr="00B67FEC">
        <w:rPr>
          <w:rFonts w:cs="Calibri"/>
          <w:b/>
          <w:szCs w:val="20"/>
        </w:rPr>
        <w:t xml:space="preserve"> è identificato nella figura de</w:t>
      </w:r>
      <w:r w:rsidR="00FB71D3">
        <w:rPr>
          <w:rFonts w:cs="Calibri"/>
          <w:b/>
          <w:szCs w:val="20"/>
        </w:rPr>
        <w:t>l dott. Fabio Moroni, Direttore di F</w:t>
      </w:r>
      <w:r w:rsidRPr="00B67FEC">
        <w:rPr>
          <w:rFonts w:cs="Calibri"/>
          <w:b/>
          <w:szCs w:val="20"/>
        </w:rPr>
        <w:t>armacia.</w:t>
      </w:r>
    </w:p>
    <w:p w:rsidR="00B771F6" w:rsidRPr="00B771F6" w:rsidRDefault="00B771F6" w:rsidP="008E2618">
      <w:pPr>
        <w:pStyle w:val="Titolo3"/>
      </w:pPr>
      <w:bookmarkStart w:id="41" w:name="_Toc101602006"/>
      <w:r>
        <w:t xml:space="preserve">Sottosezione </w:t>
      </w:r>
      <w:r w:rsidRPr="00B771F6">
        <w:t>Organismo di vigilanza</w:t>
      </w:r>
      <w:r w:rsidR="00187ED9">
        <w:t xml:space="preserve"> MOG 231</w:t>
      </w:r>
      <w:r w:rsidRPr="00B771F6">
        <w:t>:</w:t>
      </w:r>
      <w:bookmarkEnd w:id="41"/>
    </w:p>
    <w:p w:rsidR="00B771F6" w:rsidRPr="00CF0A5C" w:rsidRDefault="00B771F6" w:rsidP="00B67FEC">
      <w:pPr>
        <w:numPr>
          <w:ilvl w:val="0"/>
          <w:numId w:val="21"/>
        </w:numPr>
      </w:pPr>
      <w:r w:rsidRPr="00CF0A5C">
        <w:t>Vigila sulla rispondenza dei comportamenti realizzati all’interno della Società Pubblica con quanto previsto dal “Modello di organizzazione, gestione e controllo” evidenziandone gli scostamenti, allo scopo di adeguarlo alle attività effettivamente svolte;</w:t>
      </w:r>
    </w:p>
    <w:p w:rsidR="00B771F6" w:rsidRPr="00CF0A5C" w:rsidRDefault="00B771F6" w:rsidP="00B67FEC">
      <w:pPr>
        <w:numPr>
          <w:ilvl w:val="0"/>
          <w:numId w:val="21"/>
        </w:numPr>
      </w:pPr>
      <w:r w:rsidRPr="00CF0A5C">
        <w:t>Valuta l’adeguatezza del “Modello di organizzazione, gestione e controllo”, in relazione al</w:t>
      </w:r>
      <w:r w:rsidR="00FA207A">
        <w:t xml:space="preserve">le attività svolte dalla Società </w:t>
      </w:r>
      <w:r w:rsidRPr="00CF0A5C">
        <w:t>e alla sua organizzazione, e cioè per valutare la sua idoneità ad evitare la commissione delle categorie di reati per la prevenzione dei quali esso è stato introdotto;</w:t>
      </w:r>
    </w:p>
    <w:p w:rsidR="00B771F6" w:rsidRPr="00CF0A5C" w:rsidRDefault="00B771F6" w:rsidP="00B67FEC">
      <w:pPr>
        <w:numPr>
          <w:ilvl w:val="0"/>
          <w:numId w:val="21"/>
        </w:numPr>
      </w:pPr>
      <w:r w:rsidRPr="00CF0A5C">
        <w:t>Cura l’aggiornamento del “Modello di organizzazione, gestione e controllo”, sia attraverso una fase preventiva di analisi delle mutate condizioni aziendali, sia attraverso una fase successiva di verifica della funzionalità delle modifiche proposte.</w:t>
      </w:r>
    </w:p>
    <w:p w:rsidR="00B771F6" w:rsidRPr="00CF0A5C" w:rsidRDefault="00B771F6" w:rsidP="00B67FEC">
      <w:pPr>
        <w:numPr>
          <w:ilvl w:val="0"/>
          <w:numId w:val="21"/>
        </w:numPr>
      </w:pPr>
      <w:r w:rsidRPr="00CF0A5C">
        <w:t xml:space="preserve">Procede, su istruttoria del Responsabile della </w:t>
      </w:r>
      <w:r>
        <w:t>Trasparenza</w:t>
      </w:r>
      <w:r w:rsidRPr="00CF0A5C">
        <w:t xml:space="preserve">, alla periodica verifica dell’assolvimento degli obblighi in materia di </w:t>
      </w:r>
      <w:r>
        <w:t>trasparenza</w:t>
      </w:r>
      <w:r w:rsidRPr="00CF0A5C">
        <w:t xml:space="preserve"> ed integrità in riferimento alle deliberazioni ANAC in argomento;</w:t>
      </w:r>
    </w:p>
    <w:p w:rsidR="00B771F6" w:rsidRPr="00DA60F3" w:rsidRDefault="000F6D08" w:rsidP="000F6D08">
      <w:pPr>
        <w:rPr>
          <w:b/>
        </w:rPr>
      </w:pPr>
      <w:r w:rsidRPr="00DA60F3">
        <w:rPr>
          <w:b/>
        </w:rPr>
        <w:t>P</w:t>
      </w:r>
      <w:r w:rsidR="00B771F6" w:rsidRPr="00DA60F3">
        <w:rPr>
          <w:b/>
        </w:rPr>
        <w:t xml:space="preserve">er </w:t>
      </w:r>
      <w:r w:rsidR="00EC0950" w:rsidRPr="00DA60F3">
        <w:rPr>
          <w:b/>
        </w:rPr>
        <w:t>Segrate Servizi Srl</w:t>
      </w:r>
      <w:r w:rsidR="00B771F6" w:rsidRPr="00DA60F3">
        <w:rPr>
          <w:b/>
        </w:rPr>
        <w:t xml:space="preserve"> è identificato </w:t>
      </w:r>
      <w:r w:rsidR="00DA60F3">
        <w:rPr>
          <w:b/>
        </w:rPr>
        <w:t>il Revisore Unico</w:t>
      </w:r>
      <w:r w:rsidR="00B771F6" w:rsidRPr="00DA60F3">
        <w:rPr>
          <w:b/>
        </w:rPr>
        <w:t xml:space="preserve"> dott. </w:t>
      </w:r>
      <w:r w:rsidR="001624E8" w:rsidRPr="00DA60F3">
        <w:rPr>
          <w:b/>
        </w:rPr>
        <w:t>Alberto Garavaglia</w:t>
      </w:r>
    </w:p>
    <w:p w:rsidR="002F1DC9" w:rsidRPr="001624E8" w:rsidRDefault="0049154B" w:rsidP="008E2618">
      <w:pPr>
        <w:pStyle w:val="Titolo3"/>
      </w:pPr>
      <w:bookmarkStart w:id="42" w:name="_Toc28881617"/>
      <w:bookmarkStart w:id="43" w:name="_Toc28966876"/>
      <w:bookmarkStart w:id="44" w:name="_Toc28967096"/>
      <w:bookmarkStart w:id="45" w:name="_Toc28967348"/>
      <w:bookmarkStart w:id="46" w:name="_Toc101602007"/>
      <w:r w:rsidRPr="008F710D">
        <w:t xml:space="preserve">Sottosezione </w:t>
      </w:r>
      <w:r w:rsidR="00221498" w:rsidRPr="008F710D">
        <w:t>R</w:t>
      </w:r>
      <w:r w:rsidR="00460068" w:rsidRPr="008F710D">
        <w:t xml:space="preserve">eferenti </w:t>
      </w:r>
      <w:bookmarkEnd w:id="42"/>
      <w:r w:rsidRPr="008F710D">
        <w:t>e Responsabili di Unità Organizzativa</w:t>
      </w:r>
      <w:bookmarkEnd w:id="43"/>
      <w:bookmarkEnd w:id="44"/>
      <w:bookmarkEnd w:id="45"/>
      <w:r w:rsidR="001624E8">
        <w:t xml:space="preserve"> </w:t>
      </w:r>
      <w:r w:rsidR="001624E8" w:rsidRPr="00DA60F3">
        <w:rPr>
          <w:rFonts w:cstheme="minorHAnsi"/>
        </w:rPr>
        <w:t>| C.6 e C.11</w:t>
      </w:r>
      <w:bookmarkEnd w:id="46"/>
    </w:p>
    <w:p w:rsidR="00F902C5" w:rsidRPr="00932823" w:rsidRDefault="00F902C5" w:rsidP="00B67FEC">
      <w:pPr>
        <w:numPr>
          <w:ilvl w:val="0"/>
          <w:numId w:val="3"/>
        </w:numPr>
        <w:rPr>
          <w:rFonts w:cs="Tahoma"/>
          <w:szCs w:val="20"/>
        </w:rPr>
      </w:pPr>
      <w:bookmarkStart w:id="47" w:name="_Toc28881619"/>
      <w:bookmarkStart w:id="48" w:name="_Toc28966878"/>
      <w:bookmarkStart w:id="49" w:name="_Toc28967098"/>
      <w:bookmarkStart w:id="50" w:name="_Toc28967350"/>
      <w:r>
        <w:rPr>
          <w:rFonts w:cs="Tahoma"/>
          <w:szCs w:val="20"/>
        </w:rPr>
        <w:t>Svolgono</w:t>
      </w:r>
      <w:r w:rsidRPr="00932823">
        <w:rPr>
          <w:rFonts w:cs="Tahoma"/>
          <w:szCs w:val="20"/>
        </w:rPr>
        <w:t xml:space="preserve"> attività informativa nei confronti del Responsabile per la prevenzione della corruzione</w:t>
      </w:r>
      <w:r>
        <w:rPr>
          <w:rFonts w:cs="Tahoma"/>
          <w:szCs w:val="20"/>
        </w:rPr>
        <w:t xml:space="preserve"> </w:t>
      </w:r>
      <w:r w:rsidRPr="00932823">
        <w:rPr>
          <w:rFonts w:cs="Tahoma"/>
          <w:szCs w:val="20"/>
        </w:rPr>
        <w:t xml:space="preserve">e dell’autorità giudiziaria (art. 20 </w:t>
      </w:r>
      <w:proofErr w:type="spellStart"/>
      <w:r w:rsidRPr="00932823">
        <w:rPr>
          <w:rFonts w:cs="Tahoma"/>
          <w:szCs w:val="20"/>
        </w:rPr>
        <w:t>d.P.R.</w:t>
      </w:r>
      <w:proofErr w:type="spellEnd"/>
      <w:r w:rsidRPr="00932823">
        <w:rPr>
          <w:rFonts w:cs="Tahoma"/>
          <w:szCs w:val="20"/>
        </w:rPr>
        <w:t xml:space="preserve"> n. 3 del 1957; art.1, comma </w:t>
      </w:r>
      <w:smartTag w:uri="urn:schemas-microsoft-com:office:smarttags" w:element="metricconverter">
        <w:smartTagPr>
          <w:attr w:name="ProductID" w:val="3, l"/>
        </w:smartTagPr>
        <w:r w:rsidRPr="00932823">
          <w:rPr>
            <w:rFonts w:cs="Tahoma"/>
            <w:szCs w:val="20"/>
          </w:rPr>
          <w:t>3, l</w:t>
        </w:r>
      </w:smartTag>
      <w:r w:rsidRPr="00932823">
        <w:rPr>
          <w:rFonts w:cs="Tahoma"/>
          <w:szCs w:val="20"/>
        </w:rPr>
        <w:t xml:space="preserve">. n. 20 del 1994; art. 331 </w:t>
      </w:r>
      <w:proofErr w:type="spellStart"/>
      <w:r w:rsidRPr="00932823">
        <w:rPr>
          <w:rFonts w:cs="Tahoma"/>
          <w:szCs w:val="20"/>
        </w:rPr>
        <w:t>c.p.p.</w:t>
      </w:r>
      <w:proofErr w:type="spellEnd"/>
      <w:r w:rsidRPr="00932823">
        <w:rPr>
          <w:rFonts w:cs="Tahoma"/>
          <w:szCs w:val="20"/>
        </w:rPr>
        <w:t>);</w:t>
      </w:r>
    </w:p>
    <w:p w:rsidR="00F902C5" w:rsidRDefault="00F902C5" w:rsidP="00B67FEC">
      <w:pPr>
        <w:numPr>
          <w:ilvl w:val="0"/>
          <w:numId w:val="3"/>
        </w:numPr>
        <w:rPr>
          <w:rFonts w:cs="Tahoma"/>
          <w:szCs w:val="20"/>
        </w:rPr>
      </w:pPr>
      <w:r w:rsidRPr="00932823">
        <w:rPr>
          <w:rFonts w:cs="Tahoma"/>
          <w:szCs w:val="20"/>
        </w:rPr>
        <w:t>Partecipano al processo di gestione del rischio;</w:t>
      </w:r>
    </w:p>
    <w:p w:rsidR="00F902C5" w:rsidRPr="00932823" w:rsidRDefault="00F902C5" w:rsidP="00B67FEC">
      <w:pPr>
        <w:numPr>
          <w:ilvl w:val="0"/>
          <w:numId w:val="3"/>
        </w:numPr>
        <w:rPr>
          <w:rFonts w:cs="Tahoma"/>
          <w:szCs w:val="20"/>
        </w:rPr>
      </w:pPr>
      <w:r>
        <w:rPr>
          <w:rFonts w:cs="Tahoma"/>
          <w:szCs w:val="20"/>
        </w:rPr>
        <w:t>Propongono</w:t>
      </w:r>
      <w:r w:rsidRPr="00932823">
        <w:rPr>
          <w:rFonts w:cs="Tahoma"/>
          <w:szCs w:val="20"/>
        </w:rPr>
        <w:t xml:space="preserve"> le misure di prevenzione</w:t>
      </w:r>
      <w:r>
        <w:rPr>
          <w:rFonts w:cs="Tahoma"/>
          <w:szCs w:val="20"/>
        </w:rPr>
        <w:t>;</w:t>
      </w:r>
      <w:r w:rsidRPr="00932823">
        <w:rPr>
          <w:rFonts w:cs="Tahoma"/>
          <w:szCs w:val="20"/>
        </w:rPr>
        <w:t xml:space="preserve"> </w:t>
      </w:r>
    </w:p>
    <w:p w:rsidR="00F902C5" w:rsidRPr="00932823" w:rsidRDefault="00F902C5" w:rsidP="00B67FEC">
      <w:pPr>
        <w:numPr>
          <w:ilvl w:val="0"/>
          <w:numId w:val="3"/>
        </w:numPr>
        <w:rPr>
          <w:rFonts w:cs="Tahoma"/>
          <w:szCs w:val="20"/>
        </w:rPr>
      </w:pPr>
      <w:r w:rsidRPr="00932823">
        <w:rPr>
          <w:rFonts w:cs="Tahoma"/>
          <w:szCs w:val="20"/>
        </w:rPr>
        <w:t xml:space="preserve">Assicurano l’osservanza del Codice di comportamento </w:t>
      </w:r>
      <w:r>
        <w:rPr>
          <w:rFonts w:cs="Tahoma"/>
          <w:szCs w:val="20"/>
        </w:rPr>
        <w:t>e verificano</w:t>
      </w:r>
      <w:r w:rsidRPr="00932823">
        <w:rPr>
          <w:rFonts w:cs="Tahoma"/>
          <w:szCs w:val="20"/>
        </w:rPr>
        <w:t xml:space="preserve"> le ipotesi di violazione;</w:t>
      </w:r>
    </w:p>
    <w:p w:rsidR="00F902C5" w:rsidRPr="00932823" w:rsidRDefault="00F902C5" w:rsidP="00B67FEC">
      <w:pPr>
        <w:numPr>
          <w:ilvl w:val="0"/>
          <w:numId w:val="3"/>
        </w:numPr>
        <w:rPr>
          <w:rFonts w:cs="Tahoma"/>
          <w:szCs w:val="20"/>
        </w:rPr>
      </w:pPr>
      <w:r>
        <w:rPr>
          <w:rFonts w:cs="Tahoma"/>
          <w:szCs w:val="20"/>
        </w:rPr>
        <w:t>Adottano</w:t>
      </w:r>
      <w:r w:rsidRPr="00932823">
        <w:rPr>
          <w:rFonts w:cs="Tahoma"/>
          <w:szCs w:val="20"/>
        </w:rPr>
        <w:t xml:space="preserve"> le misure gestionali, quali l’avvio di procedimenti disciplinari, la sospensione e rotazione del personale;</w:t>
      </w:r>
    </w:p>
    <w:p w:rsidR="00F902C5" w:rsidRDefault="00F902C5" w:rsidP="00B67FEC">
      <w:pPr>
        <w:numPr>
          <w:ilvl w:val="0"/>
          <w:numId w:val="3"/>
        </w:numPr>
        <w:rPr>
          <w:rFonts w:cs="Tahoma"/>
          <w:szCs w:val="20"/>
        </w:rPr>
      </w:pPr>
      <w:r>
        <w:rPr>
          <w:rFonts w:cs="Tahoma"/>
          <w:szCs w:val="20"/>
        </w:rPr>
        <w:t>Osservano</w:t>
      </w:r>
      <w:r w:rsidRPr="00932823">
        <w:rPr>
          <w:rFonts w:cs="Tahoma"/>
          <w:szCs w:val="20"/>
        </w:rPr>
        <w:t xml:space="preserve"> le misure contenute nel </w:t>
      </w:r>
      <w:proofErr w:type="spellStart"/>
      <w:r w:rsidRPr="00932823">
        <w:rPr>
          <w:rFonts w:cs="Tahoma"/>
          <w:szCs w:val="20"/>
        </w:rPr>
        <w:t>PT</w:t>
      </w:r>
      <w:r>
        <w:rPr>
          <w:rFonts w:cs="Tahoma"/>
          <w:szCs w:val="20"/>
        </w:rPr>
        <w:t>P</w:t>
      </w:r>
      <w:r w:rsidRPr="00932823">
        <w:rPr>
          <w:rFonts w:cs="Tahoma"/>
          <w:szCs w:val="20"/>
        </w:rPr>
        <w:t>C</w:t>
      </w:r>
      <w:r>
        <w:rPr>
          <w:rFonts w:cs="Tahoma"/>
          <w:szCs w:val="20"/>
        </w:rPr>
        <w:t>eT</w:t>
      </w:r>
      <w:proofErr w:type="spellEnd"/>
      <w:r w:rsidRPr="00932823">
        <w:rPr>
          <w:rFonts w:cs="Tahoma"/>
          <w:szCs w:val="20"/>
        </w:rPr>
        <w:t xml:space="preserve"> (art. 1, com</w:t>
      </w:r>
      <w:r>
        <w:rPr>
          <w:rFonts w:cs="Tahoma"/>
          <w:szCs w:val="20"/>
        </w:rPr>
        <w:t>ma 14, della l. n.190 del 2012).</w:t>
      </w:r>
    </w:p>
    <w:p w:rsidR="001015F8" w:rsidRDefault="001015F8" w:rsidP="00B67FEC">
      <w:pPr>
        <w:numPr>
          <w:ilvl w:val="0"/>
          <w:numId w:val="3"/>
        </w:numPr>
        <w:rPr>
          <w:rFonts w:cs="Tahoma"/>
          <w:szCs w:val="20"/>
        </w:rPr>
      </w:pPr>
      <w:r>
        <w:rPr>
          <w:rFonts w:cs="Tahoma"/>
          <w:szCs w:val="20"/>
        </w:rPr>
        <w:t xml:space="preserve">Qualora coinvolti in supporto all’attività negoziale dell’AU, </w:t>
      </w:r>
      <w:r>
        <w:rPr>
          <w:rFonts w:cs="Calibri"/>
          <w:szCs w:val="20"/>
        </w:rPr>
        <w:t>p</w:t>
      </w:r>
      <w:r w:rsidRPr="00B67FEC">
        <w:rPr>
          <w:rFonts w:cs="Calibri"/>
          <w:szCs w:val="20"/>
        </w:rPr>
        <w:t xml:space="preserve">roducono gli elementi necessari ad attestare l’assenza di conflitti di interesse </w:t>
      </w:r>
      <w:r>
        <w:rPr>
          <w:rFonts w:cs="Tahoma"/>
          <w:szCs w:val="20"/>
        </w:rPr>
        <w:t>(solo il Direttore)</w:t>
      </w:r>
    </w:p>
    <w:p w:rsidR="001015F8" w:rsidRPr="001624E8" w:rsidRDefault="001015F8" w:rsidP="001624E8">
      <w:pPr>
        <w:rPr>
          <w:rFonts w:eastAsia="MS Mincho"/>
          <w:bCs/>
          <w:lang w:eastAsia="ja-JP"/>
        </w:rPr>
      </w:pPr>
      <w:r w:rsidRPr="001624E8">
        <w:rPr>
          <w:rFonts w:eastAsia="MS Mincho"/>
          <w:bCs/>
          <w:lang w:eastAsia="ja-JP"/>
        </w:rPr>
        <w:t>A tal fine si utilizza il modello “Conflitto dipendenti codice comportamento Segrate</w:t>
      </w:r>
      <w:r w:rsidR="00DA60F3">
        <w:rPr>
          <w:rFonts w:eastAsia="MS Mincho"/>
          <w:bCs/>
          <w:lang w:eastAsia="ja-JP"/>
        </w:rPr>
        <w:t xml:space="preserve"> </w:t>
      </w:r>
      <w:r w:rsidRPr="001624E8">
        <w:rPr>
          <w:rFonts w:eastAsia="MS Mincho"/>
          <w:bCs/>
          <w:lang w:eastAsia="ja-JP"/>
        </w:rPr>
        <w:t>Servizi”</w:t>
      </w:r>
    </w:p>
    <w:p w:rsidR="00F902C5" w:rsidRPr="00372C49" w:rsidRDefault="00F902C5" w:rsidP="00F902C5">
      <w:pPr>
        <w:rPr>
          <w:rFonts w:cs="Tahoma"/>
          <w:bCs/>
          <w:szCs w:val="20"/>
        </w:rPr>
      </w:pPr>
      <w:r w:rsidRPr="00372C49">
        <w:rPr>
          <w:rFonts w:cs="Tahoma"/>
          <w:bCs/>
          <w:szCs w:val="20"/>
        </w:rPr>
        <w:t xml:space="preserve">I Responsabili di Unità Organizzativa/referenti sono pertanto tenuti a collaborare con il RPCT </w:t>
      </w:r>
    </w:p>
    <w:p w:rsidR="00F902C5" w:rsidRPr="00372C49" w:rsidRDefault="00F902C5" w:rsidP="00B67FEC">
      <w:pPr>
        <w:numPr>
          <w:ilvl w:val="0"/>
          <w:numId w:val="4"/>
        </w:numPr>
        <w:rPr>
          <w:rFonts w:cs="Tahoma"/>
          <w:bCs/>
          <w:szCs w:val="20"/>
        </w:rPr>
      </w:pPr>
      <w:r w:rsidRPr="00372C49">
        <w:rPr>
          <w:rFonts w:cs="Tahoma"/>
          <w:bCs/>
          <w:szCs w:val="20"/>
        </w:rPr>
        <w:t xml:space="preserve">Nella definizione dell'analisi del contesto esterno; </w:t>
      </w:r>
    </w:p>
    <w:p w:rsidR="00F902C5" w:rsidRPr="00372C49" w:rsidRDefault="00F902C5" w:rsidP="00B67FEC">
      <w:pPr>
        <w:numPr>
          <w:ilvl w:val="0"/>
          <w:numId w:val="4"/>
        </w:numPr>
        <w:rPr>
          <w:rFonts w:cs="Tahoma"/>
          <w:bCs/>
          <w:szCs w:val="20"/>
        </w:rPr>
      </w:pPr>
      <w:r w:rsidRPr="00372C49">
        <w:rPr>
          <w:rFonts w:cs="Tahoma"/>
          <w:bCs/>
          <w:szCs w:val="20"/>
        </w:rPr>
        <w:lastRenderedPageBreak/>
        <w:t>Nella mappatura dei processi;</w:t>
      </w:r>
    </w:p>
    <w:p w:rsidR="00F902C5" w:rsidRPr="00372C49" w:rsidRDefault="00F902C5" w:rsidP="00B67FEC">
      <w:pPr>
        <w:numPr>
          <w:ilvl w:val="0"/>
          <w:numId w:val="4"/>
        </w:numPr>
        <w:rPr>
          <w:rFonts w:cs="Tahoma"/>
          <w:bCs/>
          <w:szCs w:val="20"/>
        </w:rPr>
      </w:pPr>
      <w:r w:rsidRPr="00372C49">
        <w:rPr>
          <w:rFonts w:cs="Tahoma"/>
          <w:bCs/>
          <w:szCs w:val="20"/>
        </w:rPr>
        <w:t>Nell’identificazione degli eventi rischiosi;</w:t>
      </w:r>
    </w:p>
    <w:p w:rsidR="00F902C5" w:rsidRPr="00372C49" w:rsidRDefault="00F902C5" w:rsidP="00B67FEC">
      <w:pPr>
        <w:numPr>
          <w:ilvl w:val="0"/>
          <w:numId w:val="4"/>
        </w:numPr>
        <w:rPr>
          <w:rFonts w:cs="Tahoma"/>
          <w:bCs/>
          <w:szCs w:val="20"/>
        </w:rPr>
      </w:pPr>
      <w:r w:rsidRPr="00372C49">
        <w:rPr>
          <w:rFonts w:cs="Tahoma"/>
          <w:bCs/>
          <w:szCs w:val="20"/>
        </w:rPr>
        <w:t>Nell’analisi delle cause;</w:t>
      </w:r>
    </w:p>
    <w:p w:rsidR="00F902C5" w:rsidRPr="00372C49" w:rsidRDefault="00F902C5" w:rsidP="00B67FEC">
      <w:pPr>
        <w:numPr>
          <w:ilvl w:val="0"/>
          <w:numId w:val="4"/>
        </w:numPr>
        <w:rPr>
          <w:rFonts w:cs="Tahoma"/>
          <w:bCs/>
          <w:szCs w:val="20"/>
        </w:rPr>
      </w:pPr>
      <w:r w:rsidRPr="00372C49">
        <w:rPr>
          <w:rFonts w:cs="Tahoma"/>
          <w:bCs/>
          <w:szCs w:val="20"/>
        </w:rPr>
        <w:t>Nella valutazione del livello di esposizione al rischio dei processi;</w:t>
      </w:r>
    </w:p>
    <w:p w:rsidR="00F902C5" w:rsidRPr="00372C49" w:rsidRDefault="00F902C5" w:rsidP="00B67FEC">
      <w:pPr>
        <w:numPr>
          <w:ilvl w:val="0"/>
          <w:numId w:val="4"/>
        </w:numPr>
        <w:rPr>
          <w:rFonts w:cs="Tahoma"/>
          <w:bCs/>
          <w:szCs w:val="20"/>
        </w:rPr>
      </w:pPr>
      <w:r w:rsidRPr="00372C49">
        <w:rPr>
          <w:rFonts w:cs="Tahoma"/>
          <w:bCs/>
          <w:szCs w:val="20"/>
        </w:rPr>
        <w:t>Nella identificazione e progettazione delle misure.</w:t>
      </w:r>
    </w:p>
    <w:p w:rsidR="002F1DC9" w:rsidRPr="008F710D" w:rsidRDefault="0049154B" w:rsidP="008E2618">
      <w:pPr>
        <w:pStyle w:val="Titolo3"/>
      </w:pPr>
      <w:bookmarkStart w:id="51" w:name="_Toc101602008"/>
      <w:r w:rsidRPr="008F710D">
        <w:t>Sottosezione t</w:t>
      </w:r>
      <w:r w:rsidR="00221498" w:rsidRPr="008F710D">
        <w:t>utti</w:t>
      </w:r>
      <w:r w:rsidR="002F1DC9" w:rsidRPr="008F710D">
        <w:t xml:space="preserve"> i dipendenti </w:t>
      </w:r>
      <w:r w:rsidR="002021DD" w:rsidRPr="008F710D">
        <w:t xml:space="preserve">di </w:t>
      </w:r>
      <w:r w:rsidR="00EC0950">
        <w:t>Segrate Servizi Srl</w:t>
      </w:r>
      <w:bookmarkEnd w:id="47"/>
      <w:bookmarkEnd w:id="48"/>
      <w:bookmarkEnd w:id="49"/>
      <w:bookmarkEnd w:id="50"/>
      <w:bookmarkEnd w:id="51"/>
    </w:p>
    <w:p w:rsidR="002F1DC9" w:rsidRPr="00B67FEC" w:rsidRDefault="00F902C5" w:rsidP="00B67FEC">
      <w:pPr>
        <w:numPr>
          <w:ilvl w:val="0"/>
          <w:numId w:val="5"/>
        </w:numPr>
        <w:rPr>
          <w:rFonts w:cs="Calibri"/>
          <w:szCs w:val="20"/>
        </w:rPr>
      </w:pPr>
      <w:r w:rsidRPr="00B67FEC">
        <w:rPr>
          <w:rFonts w:cs="Calibri"/>
          <w:szCs w:val="20"/>
        </w:rPr>
        <w:t>Partecipano</w:t>
      </w:r>
      <w:r w:rsidR="002F1DC9" w:rsidRPr="00B67FEC">
        <w:rPr>
          <w:rFonts w:cs="Calibri"/>
          <w:szCs w:val="20"/>
        </w:rPr>
        <w:t xml:space="preserve"> al p</w:t>
      </w:r>
      <w:r w:rsidR="00BF2915" w:rsidRPr="00B67FEC">
        <w:rPr>
          <w:rFonts w:cs="Calibri"/>
          <w:szCs w:val="20"/>
        </w:rPr>
        <w:t>rocesso di gestione del rischio;</w:t>
      </w:r>
    </w:p>
    <w:p w:rsidR="002F1DC9" w:rsidRPr="00B67FEC" w:rsidRDefault="00F902C5" w:rsidP="00B67FEC">
      <w:pPr>
        <w:numPr>
          <w:ilvl w:val="0"/>
          <w:numId w:val="5"/>
        </w:numPr>
        <w:rPr>
          <w:rFonts w:cs="Calibri"/>
          <w:szCs w:val="20"/>
        </w:rPr>
      </w:pPr>
      <w:r w:rsidRPr="00B67FEC">
        <w:rPr>
          <w:rFonts w:cs="Calibri"/>
          <w:szCs w:val="20"/>
        </w:rPr>
        <w:t>Osservano</w:t>
      </w:r>
      <w:r w:rsidR="002F1DC9" w:rsidRPr="00B67FEC">
        <w:rPr>
          <w:rFonts w:cs="Calibri"/>
          <w:szCs w:val="20"/>
        </w:rPr>
        <w:t xml:space="preserve"> le misure contenute nel </w:t>
      </w:r>
      <w:proofErr w:type="spellStart"/>
      <w:r w:rsidR="006B4A41" w:rsidRPr="00B67FEC">
        <w:rPr>
          <w:rFonts w:cs="Calibri"/>
          <w:szCs w:val="20"/>
        </w:rPr>
        <w:t>PTPCeT</w:t>
      </w:r>
      <w:proofErr w:type="spellEnd"/>
      <w:r w:rsidR="002F1DC9" w:rsidRPr="00B67FEC">
        <w:rPr>
          <w:rFonts w:cs="Calibri"/>
          <w:szCs w:val="20"/>
        </w:rPr>
        <w:t xml:space="preserve"> (</w:t>
      </w:r>
      <w:r w:rsidRPr="00B67FEC">
        <w:rPr>
          <w:rFonts w:cs="Calibri"/>
          <w:szCs w:val="20"/>
        </w:rPr>
        <w:t>Art.</w:t>
      </w:r>
      <w:r w:rsidR="002F1DC9" w:rsidRPr="00B67FEC">
        <w:rPr>
          <w:rFonts w:cs="Calibri"/>
          <w:szCs w:val="20"/>
        </w:rPr>
        <w:t xml:space="preserve"> 1, comma 14, della l. n. 190 del 2012);</w:t>
      </w:r>
    </w:p>
    <w:p w:rsidR="006B4A41" w:rsidRPr="00B67FEC" w:rsidRDefault="00F902C5" w:rsidP="00B67FEC">
      <w:pPr>
        <w:numPr>
          <w:ilvl w:val="0"/>
          <w:numId w:val="5"/>
        </w:numPr>
        <w:rPr>
          <w:rFonts w:cs="Calibri"/>
          <w:szCs w:val="20"/>
        </w:rPr>
      </w:pPr>
      <w:r w:rsidRPr="00B67FEC">
        <w:rPr>
          <w:rFonts w:cs="Calibri"/>
          <w:szCs w:val="20"/>
        </w:rPr>
        <w:t>Segnalano</w:t>
      </w:r>
      <w:r w:rsidR="002F1DC9" w:rsidRPr="00B67FEC">
        <w:rPr>
          <w:rFonts w:cs="Calibri"/>
          <w:szCs w:val="20"/>
        </w:rPr>
        <w:t xml:space="preserve"> le situazioni d</w:t>
      </w:r>
      <w:r w:rsidR="008275E1" w:rsidRPr="00B67FEC">
        <w:rPr>
          <w:rFonts w:cs="Calibri"/>
          <w:szCs w:val="20"/>
        </w:rPr>
        <w:t xml:space="preserve">i illecito al </w:t>
      </w:r>
      <w:r w:rsidR="004847E7" w:rsidRPr="00B67FEC">
        <w:rPr>
          <w:rFonts w:cs="Calibri"/>
          <w:szCs w:val="20"/>
        </w:rPr>
        <w:t>RPC</w:t>
      </w:r>
      <w:r w:rsidR="008275E1" w:rsidRPr="00B67FEC">
        <w:rPr>
          <w:rFonts w:cs="Calibri"/>
          <w:szCs w:val="20"/>
        </w:rPr>
        <w:t>;</w:t>
      </w:r>
    </w:p>
    <w:p w:rsidR="002F1DC9" w:rsidRPr="00B67FEC" w:rsidRDefault="00F902C5" w:rsidP="00B67FEC">
      <w:pPr>
        <w:numPr>
          <w:ilvl w:val="0"/>
          <w:numId w:val="5"/>
        </w:numPr>
        <w:rPr>
          <w:rFonts w:cs="Calibri"/>
          <w:szCs w:val="20"/>
        </w:rPr>
      </w:pPr>
      <w:r w:rsidRPr="00B67FEC">
        <w:rPr>
          <w:rFonts w:cs="Calibri"/>
          <w:szCs w:val="20"/>
        </w:rPr>
        <w:t>Segnalano</w:t>
      </w:r>
      <w:r w:rsidR="002F1DC9" w:rsidRPr="00B67FEC">
        <w:rPr>
          <w:rFonts w:cs="Calibri"/>
          <w:szCs w:val="20"/>
        </w:rPr>
        <w:t xml:space="preserve"> casi di personale conflitto di interessi (art. 6 bis l. n. 241 del 1990; artt. 6 e 7 Codice di comportamento</w:t>
      </w:r>
      <w:r w:rsidR="008E12A4" w:rsidRPr="00B67FEC">
        <w:rPr>
          <w:rFonts w:cs="Calibri"/>
          <w:szCs w:val="20"/>
        </w:rPr>
        <w:t xml:space="preserve"> DPR 62/2013</w:t>
      </w:r>
      <w:r w:rsidR="00836A81" w:rsidRPr="00B67FEC">
        <w:rPr>
          <w:rFonts w:cs="Calibri"/>
          <w:szCs w:val="20"/>
        </w:rPr>
        <w:t>).</w:t>
      </w:r>
    </w:p>
    <w:p w:rsidR="002F1DC9" w:rsidRPr="008F710D" w:rsidRDefault="00DD3386" w:rsidP="008E2618">
      <w:pPr>
        <w:pStyle w:val="Titolo3"/>
      </w:pPr>
      <w:bookmarkStart w:id="52" w:name="_Toc28881620"/>
      <w:bookmarkStart w:id="53" w:name="_Toc101602009"/>
      <w:r w:rsidRPr="008F710D">
        <w:t>Sottosezione</w:t>
      </w:r>
      <w:r w:rsidR="002F1DC9" w:rsidRPr="008F710D">
        <w:t xml:space="preserve"> collaboratori a qualsiasi titolo d</w:t>
      </w:r>
      <w:r w:rsidR="00F902C5">
        <w:t>ella Società</w:t>
      </w:r>
      <w:bookmarkEnd w:id="52"/>
      <w:bookmarkEnd w:id="53"/>
    </w:p>
    <w:p w:rsidR="002F1DC9" w:rsidRPr="00B67FEC" w:rsidRDefault="00F902C5" w:rsidP="00B67FEC">
      <w:pPr>
        <w:numPr>
          <w:ilvl w:val="0"/>
          <w:numId w:val="10"/>
        </w:numPr>
        <w:rPr>
          <w:rFonts w:cs="Calibri"/>
          <w:szCs w:val="20"/>
        </w:rPr>
      </w:pPr>
      <w:r w:rsidRPr="00B67FEC">
        <w:rPr>
          <w:rFonts w:cs="Calibri"/>
          <w:szCs w:val="20"/>
        </w:rPr>
        <w:t>Osservano</w:t>
      </w:r>
      <w:r w:rsidR="002F1DC9" w:rsidRPr="00B67FEC">
        <w:rPr>
          <w:rFonts w:cs="Calibri"/>
          <w:szCs w:val="20"/>
        </w:rPr>
        <w:t xml:space="preserve"> le misure contenute nel </w:t>
      </w:r>
      <w:proofErr w:type="spellStart"/>
      <w:r w:rsidR="002F1DC9" w:rsidRPr="00B67FEC">
        <w:rPr>
          <w:rFonts w:cs="Calibri"/>
          <w:szCs w:val="20"/>
        </w:rPr>
        <w:t>P</w:t>
      </w:r>
      <w:r w:rsidR="006B4A41" w:rsidRPr="00B67FEC">
        <w:rPr>
          <w:rFonts w:cs="Calibri"/>
          <w:szCs w:val="20"/>
        </w:rPr>
        <w:t>TPCeT</w:t>
      </w:r>
      <w:proofErr w:type="spellEnd"/>
      <w:r w:rsidR="006B4A41" w:rsidRPr="00B67FEC">
        <w:rPr>
          <w:rFonts w:cs="Calibri"/>
          <w:szCs w:val="20"/>
        </w:rPr>
        <w:t>;</w:t>
      </w:r>
    </w:p>
    <w:p w:rsidR="002F1DC9" w:rsidRPr="00B67FEC" w:rsidRDefault="00F902C5" w:rsidP="00B67FEC">
      <w:pPr>
        <w:numPr>
          <w:ilvl w:val="0"/>
          <w:numId w:val="10"/>
        </w:numPr>
        <w:rPr>
          <w:rFonts w:cs="Calibri"/>
          <w:szCs w:val="20"/>
        </w:rPr>
      </w:pPr>
      <w:r w:rsidRPr="00B67FEC">
        <w:rPr>
          <w:rFonts w:cs="Calibri"/>
          <w:szCs w:val="20"/>
        </w:rPr>
        <w:t>Segnalano</w:t>
      </w:r>
      <w:r w:rsidR="002F1DC9" w:rsidRPr="00B67FEC">
        <w:rPr>
          <w:rFonts w:cs="Calibri"/>
          <w:szCs w:val="20"/>
        </w:rPr>
        <w:t xml:space="preserve"> </w:t>
      </w:r>
      <w:r w:rsidR="00E10D49" w:rsidRPr="00B67FEC">
        <w:rPr>
          <w:rFonts w:cs="Calibri"/>
          <w:szCs w:val="20"/>
        </w:rPr>
        <w:t>le situazioni di illecito</w:t>
      </w:r>
      <w:r w:rsidR="00012F4D" w:rsidRPr="00B67FEC">
        <w:rPr>
          <w:rFonts w:cs="Calibri"/>
          <w:szCs w:val="20"/>
        </w:rPr>
        <w:t>;</w:t>
      </w:r>
    </w:p>
    <w:p w:rsidR="006B4A41" w:rsidRPr="00B67FEC" w:rsidRDefault="00F902C5" w:rsidP="00B67FEC">
      <w:pPr>
        <w:numPr>
          <w:ilvl w:val="0"/>
          <w:numId w:val="10"/>
        </w:numPr>
        <w:rPr>
          <w:rFonts w:cs="Calibri"/>
          <w:szCs w:val="20"/>
        </w:rPr>
      </w:pPr>
      <w:r w:rsidRPr="00B67FEC">
        <w:rPr>
          <w:rFonts w:cs="Calibri"/>
          <w:szCs w:val="20"/>
        </w:rPr>
        <w:t>Sottoscrivono</w:t>
      </w:r>
      <w:r w:rsidR="006B4A41" w:rsidRPr="00B67FEC">
        <w:rPr>
          <w:rFonts w:cs="Calibri"/>
          <w:szCs w:val="20"/>
        </w:rPr>
        <w:t xml:space="preserve"> il loro impegno ad osservare il Codice di comportamento </w:t>
      </w:r>
      <w:r w:rsidR="002021DD" w:rsidRPr="00B67FEC">
        <w:rPr>
          <w:rFonts w:cs="Calibri"/>
          <w:szCs w:val="20"/>
        </w:rPr>
        <w:t xml:space="preserve">di </w:t>
      </w:r>
      <w:r w:rsidR="00EC0950">
        <w:rPr>
          <w:rFonts w:cs="Calibri"/>
          <w:szCs w:val="20"/>
        </w:rPr>
        <w:t>Segrate Servizi Srl</w:t>
      </w:r>
      <w:r w:rsidR="00012F4D" w:rsidRPr="00B67FEC">
        <w:rPr>
          <w:rFonts w:cs="Calibri"/>
          <w:szCs w:val="20"/>
        </w:rPr>
        <w:t>;</w:t>
      </w:r>
    </w:p>
    <w:p w:rsidR="006B4A41" w:rsidRPr="00B67FEC" w:rsidRDefault="00F902C5" w:rsidP="00B67FEC">
      <w:pPr>
        <w:numPr>
          <w:ilvl w:val="0"/>
          <w:numId w:val="10"/>
        </w:numPr>
        <w:rPr>
          <w:rFonts w:cs="Calibri"/>
          <w:szCs w:val="20"/>
        </w:rPr>
      </w:pPr>
      <w:r w:rsidRPr="00B67FEC">
        <w:rPr>
          <w:rFonts w:cs="Calibri"/>
          <w:szCs w:val="20"/>
        </w:rPr>
        <w:t>Producono</w:t>
      </w:r>
      <w:r w:rsidR="006B4A41" w:rsidRPr="00B67FEC">
        <w:rPr>
          <w:rFonts w:cs="Calibri"/>
          <w:szCs w:val="20"/>
        </w:rPr>
        <w:t xml:space="preserve"> le autocertificazioni di assenza cause di </w:t>
      </w:r>
      <w:proofErr w:type="spellStart"/>
      <w:r w:rsidR="006B4A41" w:rsidRPr="00B67FEC">
        <w:rPr>
          <w:rFonts w:cs="Calibri"/>
          <w:szCs w:val="20"/>
        </w:rPr>
        <w:t>inconferibilità</w:t>
      </w:r>
      <w:proofErr w:type="spellEnd"/>
      <w:r w:rsidR="006B4A41" w:rsidRPr="00B67FEC">
        <w:rPr>
          <w:rFonts w:cs="Calibri"/>
          <w:szCs w:val="20"/>
        </w:rPr>
        <w:t xml:space="preserve"> e incompatibilità eventualmente necessarie</w:t>
      </w:r>
      <w:r w:rsidR="00012F4D" w:rsidRPr="00B67FEC">
        <w:rPr>
          <w:rFonts w:cs="Calibri"/>
          <w:szCs w:val="20"/>
        </w:rPr>
        <w:t>;</w:t>
      </w:r>
    </w:p>
    <w:p w:rsidR="006B4A41" w:rsidRDefault="00F902C5" w:rsidP="00B67FEC">
      <w:pPr>
        <w:numPr>
          <w:ilvl w:val="0"/>
          <w:numId w:val="10"/>
        </w:numPr>
        <w:rPr>
          <w:rFonts w:cs="Calibri"/>
          <w:szCs w:val="20"/>
        </w:rPr>
      </w:pPr>
      <w:r w:rsidRPr="00B67FEC">
        <w:rPr>
          <w:rFonts w:cs="Calibri"/>
          <w:szCs w:val="20"/>
        </w:rPr>
        <w:t>Producono</w:t>
      </w:r>
      <w:r w:rsidR="006B4A41" w:rsidRPr="00B67FEC">
        <w:rPr>
          <w:rFonts w:cs="Calibri"/>
          <w:szCs w:val="20"/>
        </w:rPr>
        <w:t xml:space="preserve"> gli elementi necessari ad attestare l’assenza di conflitti di interesse con </w:t>
      </w:r>
      <w:r w:rsidR="00EC0950">
        <w:rPr>
          <w:rFonts w:cs="Calibri"/>
          <w:szCs w:val="20"/>
        </w:rPr>
        <w:t>Segrate Servizi Srl</w:t>
      </w:r>
      <w:r w:rsidR="00012F4D" w:rsidRPr="00B67FEC">
        <w:rPr>
          <w:rFonts w:cs="Calibri"/>
          <w:szCs w:val="20"/>
        </w:rPr>
        <w:t>.</w:t>
      </w:r>
    </w:p>
    <w:p w:rsidR="00372C49" w:rsidRPr="00CA0CCB" w:rsidRDefault="00372C49" w:rsidP="001624E8">
      <w:pPr>
        <w:rPr>
          <w:rFonts w:eastAsia="MS Mincho"/>
          <w:bCs/>
          <w:lang w:eastAsia="ja-JP"/>
        </w:rPr>
      </w:pPr>
      <w:r w:rsidRPr="001624E8">
        <w:rPr>
          <w:rFonts w:eastAsia="MS Mincho"/>
          <w:bCs/>
          <w:lang w:eastAsia="ja-JP"/>
        </w:rPr>
        <w:t xml:space="preserve">A tal fine </w:t>
      </w:r>
      <w:r w:rsidR="001015F8" w:rsidRPr="001624E8">
        <w:rPr>
          <w:rFonts w:eastAsia="MS Mincho"/>
          <w:bCs/>
          <w:lang w:eastAsia="ja-JP"/>
        </w:rPr>
        <w:t xml:space="preserve">si </w:t>
      </w:r>
      <w:r w:rsidRPr="001624E8">
        <w:rPr>
          <w:rFonts w:eastAsia="MS Mincho"/>
          <w:bCs/>
          <w:lang w:eastAsia="ja-JP"/>
        </w:rPr>
        <w:t xml:space="preserve">utilizza il modello “Dichiarazione Consulenti e </w:t>
      </w:r>
      <w:r w:rsidR="00CA0CCB" w:rsidRPr="001624E8">
        <w:rPr>
          <w:rFonts w:eastAsia="MS Mincho"/>
          <w:bCs/>
          <w:lang w:eastAsia="ja-JP"/>
        </w:rPr>
        <w:t>collaboratori</w:t>
      </w:r>
      <w:r w:rsidRPr="001624E8">
        <w:rPr>
          <w:rFonts w:eastAsia="MS Mincho"/>
          <w:bCs/>
          <w:lang w:eastAsia="ja-JP"/>
        </w:rPr>
        <w:t>”</w:t>
      </w:r>
    </w:p>
    <w:p w:rsidR="00372C49" w:rsidRPr="00B67FEC" w:rsidRDefault="00372C49" w:rsidP="00372C49">
      <w:pPr>
        <w:rPr>
          <w:rFonts w:cs="Calibri"/>
          <w:szCs w:val="20"/>
        </w:rPr>
      </w:pPr>
    </w:p>
    <w:p w:rsidR="00005E0D" w:rsidRPr="00B67FEC" w:rsidRDefault="007C71EF" w:rsidP="0049154B">
      <w:pPr>
        <w:pStyle w:val="Titolo1"/>
        <w:rPr>
          <w:rFonts w:cs="Calibri"/>
        </w:rPr>
      </w:pPr>
      <w:bookmarkStart w:id="54" w:name="_Toc28881621"/>
      <w:bookmarkStart w:id="55" w:name="_Toc28966879"/>
      <w:bookmarkStart w:id="56" w:name="_Toc28967099"/>
      <w:bookmarkStart w:id="57" w:name="_Toc28967351"/>
      <w:bookmarkStart w:id="58" w:name="_Toc101602010"/>
      <w:r w:rsidRPr="00B67FEC">
        <w:rPr>
          <w:rFonts w:cs="Calibri"/>
        </w:rPr>
        <w:t>LE RESPONSABILITÀ</w:t>
      </w:r>
      <w:bookmarkEnd w:id="54"/>
      <w:bookmarkEnd w:id="55"/>
      <w:bookmarkEnd w:id="56"/>
      <w:bookmarkEnd w:id="57"/>
      <w:bookmarkEnd w:id="58"/>
    </w:p>
    <w:p w:rsidR="007229BA" w:rsidRPr="008E2618" w:rsidRDefault="00571093" w:rsidP="008E2618">
      <w:pPr>
        <w:pStyle w:val="Titolo3"/>
      </w:pPr>
      <w:bookmarkStart w:id="59" w:name="_Toc28881622"/>
      <w:bookmarkStart w:id="60" w:name="_Toc28966880"/>
      <w:bookmarkStart w:id="61" w:name="_Toc28967100"/>
      <w:bookmarkStart w:id="62" w:name="_Toc28967352"/>
      <w:bookmarkStart w:id="63" w:name="_Toc101602011"/>
      <w:r w:rsidRPr="008E2618">
        <w:t>Del</w:t>
      </w:r>
      <w:r w:rsidR="007229BA" w:rsidRPr="008E2618">
        <w:t xml:space="preserve"> </w:t>
      </w:r>
      <w:r w:rsidR="00012F4D" w:rsidRPr="008E2618">
        <w:t>RPC</w:t>
      </w:r>
      <w:bookmarkEnd w:id="59"/>
      <w:bookmarkEnd w:id="60"/>
      <w:bookmarkEnd w:id="61"/>
      <w:bookmarkEnd w:id="62"/>
      <w:bookmarkEnd w:id="63"/>
    </w:p>
    <w:p w:rsidR="007229BA" w:rsidRPr="00B67FEC" w:rsidRDefault="007229BA" w:rsidP="0049154B">
      <w:pPr>
        <w:rPr>
          <w:rFonts w:cs="Calibri"/>
          <w:szCs w:val="20"/>
        </w:rPr>
      </w:pPr>
      <w:r w:rsidRPr="00B67FEC">
        <w:rPr>
          <w:rFonts w:cs="Calibri"/>
          <w:szCs w:val="20"/>
        </w:rPr>
        <w:t>A fronte dei compiti che la legge attribuisce al responsabile sono previsti consistenti responsabilità in caso di inadempimento.</w:t>
      </w:r>
    </w:p>
    <w:p w:rsidR="007229BA" w:rsidRPr="00B67FEC" w:rsidRDefault="007229BA" w:rsidP="0049154B">
      <w:pPr>
        <w:rPr>
          <w:rFonts w:cs="Calibri"/>
          <w:szCs w:val="20"/>
        </w:rPr>
      </w:pPr>
      <w:r w:rsidRPr="00B67FEC">
        <w:rPr>
          <w:rFonts w:cs="Calibri"/>
          <w:szCs w:val="20"/>
        </w:rPr>
        <w:t>In particolare all’art. 1, comma 8, della l. n. 190 e all’art. 1, comma 12, della l. n. 190</w:t>
      </w:r>
      <w:r w:rsidR="00200E28" w:rsidRPr="00B67FEC">
        <w:rPr>
          <w:rFonts w:cs="Calibri"/>
          <w:szCs w:val="20"/>
        </w:rPr>
        <w:t>.</w:t>
      </w:r>
    </w:p>
    <w:p w:rsidR="007229BA" w:rsidRPr="00B67FEC" w:rsidRDefault="007229BA" w:rsidP="0049154B">
      <w:pPr>
        <w:rPr>
          <w:rFonts w:cs="Calibri"/>
          <w:szCs w:val="20"/>
        </w:rPr>
      </w:pPr>
      <w:r w:rsidRPr="00B67FEC">
        <w:rPr>
          <w:rFonts w:cs="Calibri"/>
          <w:szCs w:val="20"/>
        </w:rPr>
        <w:t>L’art. 1, comma 14, individua due ulteriori ipotesi di responsabilità:</w:t>
      </w:r>
    </w:p>
    <w:p w:rsidR="007229BA" w:rsidRPr="00B67FEC" w:rsidRDefault="00F902C5" w:rsidP="00B67FEC">
      <w:pPr>
        <w:numPr>
          <w:ilvl w:val="0"/>
          <w:numId w:val="17"/>
        </w:numPr>
        <w:rPr>
          <w:rFonts w:cs="Calibri"/>
          <w:szCs w:val="20"/>
        </w:rPr>
      </w:pPr>
      <w:r w:rsidRPr="00B67FEC">
        <w:rPr>
          <w:rFonts w:cs="Calibri"/>
          <w:szCs w:val="20"/>
        </w:rPr>
        <w:t>Una</w:t>
      </w:r>
      <w:r w:rsidR="007229BA" w:rsidRPr="00B67FEC">
        <w:rPr>
          <w:rFonts w:cs="Calibri"/>
          <w:szCs w:val="20"/>
        </w:rPr>
        <w:t xml:space="preserve"> forma di responsabilità dirigenziale a che si configura nel caso di: “</w:t>
      </w:r>
      <w:r w:rsidR="007229BA" w:rsidRPr="00B67FEC">
        <w:rPr>
          <w:rFonts w:cs="Calibri"/>
          <w:i/>
          <w:iCs/>
          <w:szCs w:val="20"/>
        </w:rPr>
        <w:t>ripetute violazioni delle misure di prevenzione</w:t>
      </w:r>
      <w:r w:rsidR="007229BA" w:rsidRPr="00B67FEC">
        <w:rPr>
          <w:rFonts w:cs="Calibri"/>
          <w:szCs w:val="20"/>
        </w:rPr>
        <w:t xml:space="preserve"> </w:t>
      </w:r>
      <w:r w:rsidR="007229BA" w:rsidRPr="00B67FEC">
        <w:rPr>
          <w:rFonts w:cs="Calibri"/>
          <w:i/>
          <w:iCs/>
          <w:szCs w:val="20"/>
        </w:rPr>
        <w:t>previste dal piano</w:t>
      </w:r>
      <w:r w:rsidR="007229BA" w:rsidRPr="00B67FEC">
        <w:rPr>
          <w:rFonts w:cs="Calibri"/>
          <w:szCs w:val="20"/>
        </w:rPr>
        <w:t>”;</w:t>
      </w:r>
    </w:p>
    <w:p w:rsidR="007229BA" w:rsidRPr="00B67FEC" w:rsidRDefault="00F902C5" w:rsidP="00B67FEC">
      <w:pPr>
        <w:numPr>
          <w:ilvl w:val="0"/>
          <w:numId w:val="17"/>
        </w:numPr>
        <w:rPr>
          <w:rFonts w:cs="Calibri"/>
          <w:szCs w:val="20"/>
        </w:rPr>
      </w:pPr>
      <w:r w:rsidRPr="00B67FEC">
        <w:rPr>
          <w:rFonts w:cs="Calibri"/>
          <w:szCs w:val="20"/>
        </w:rPr>
        <w:t>Una</w:t>
      </w:r>
      <w:r w:rsidR="007229BA" w:rsidRPr="00B67FEC">
        <w:rPr>
          <w:rFonts w:cs="Calibri"/>
          <w:szCs w:val="20"/>
        </w:rPr>
        <w:t xml:space="preserve"> forma di responsabilità disciplinare “</w:t>
      </w:r>
      <w:r w:rsidR="007229BA" w:rsidRPr="00B67FEC">
        <w:rPr>
          <w:rFonts w:cs="Calibri"/>
          <w:i/>
          <w:iCs/>
          <w:szCs w:val="20"/>
        </w:rPr>
        <w:t>per omesso controllo</w:t>
      </w:r>
      <w:r w:rsidR="007229BA" w:rsidRPr="00B67FEC">
        <w:rPr>
          <w:rFonts w:cs="Calibri"/>
          <w:szCs w:val="20"/>
        </w:rPr>
        <w:t>”.</w:t>
      </w:r>
    </w:p>
    <w:p w:rsidR="00834CB0" w:rsidRPr="00B67FEC" w:rsidRDefault="00834CB0" w:rsidP="0049154B">
      <w:pPr>
        <w:rPr>
          <w:rFonts w:cs="Calibri"/>
          <w:szCs w:val="20"/>
        </w:rPr>
      </w:pPr>
      <w:r w:rsidRPr="00B67FEC">
        <w:rPr>
          <w:rFonts w:cs="Calibri"/>
          <w:szCs w:val="20"/>
        </w:rPr>
        <w:t xml:space="preserve">Il PNA 2018 dedica ampio spazio alla figura del </w:t>
      </w:r>
      <w:r w:rsidR="008F7E78" w:rsidRPr="00B67FEC">
        <w:rPr>
          <w:rFonts w:cs="Calibri"/>
          <w:szCs w:val="20"/>
        </w:rPr>
        <w:t>RPC</w:t>
      </w:r>
      <w:r w:rsidRPr="00B67FEC">
        <w:rPr>
          <w:rFonts w:cs="Calibri"/>
          <w:szCs w:val="20"/>
        </w:rPr>
        <w:t>, rinviando compiutamente alla Delibera n. 840 del 2 ottobre 2018 sulla corretta interpretazione dei compiti del Responsabile della Prevenzione della Corruzione e della Trasparenza (</w:t>
      </w:r>
      <w:r w:rsidR="008F7E78" w:rsidRPr="00B67FEC">
        <w:rPr>
          <w:rFonts w:cs="Calibri"/>
          <w:szCs w:val="20"/>
        </w:rPr>
        <w:t>RPC</w:t>
      </w:r>
      <w:r w:rsidRPr="00B67FEC">
        <w:rPr>
          <w:rFonts w:cs="Calibri"/>
          <w:szCs w:val="20"/>
        </w:rPr>
        <w:t>)</w:t>
      </w:r>
    </w:p>
    <w:p w:rsidR="007D5EA6" w:rsidRPr="00B67FEC" w:rsidRDefault="00834CB0" w:rsidP="0049154B">
      <w:pPr>
        <w:rPr>
          <w:rFonts w:cs="Calibri"/>
          <w:szCs w:val="20"/>
        </w:rPr>
      </w:pPr>
      <w:r w:rsidRPr="00B67FEC">
        <w:rPr>
          <w:rFonts w:cs="Calibri"/>
          <w:szCs w:val="20"/>
        </w:rPr>
        <w:t>In materia di Trasparenza e p</w:t>
      </w:r>
      <w:r w:rsidR="007D5EA6" w:rsidRPr="00B67FEC">
        <w:rPr>
          <w:rFonts w:cs="Calibri"/>
          <w:szCs w:val="20"/>
        </w:rPr>
        <w:t xml:space="preserve">er le pubblicazioni di propria competenza, l'inadempimento degli obblighi di pubblicazione previsti dalla normativa vigente ((e il rifiuto, il differimento e la limitazione dell'accesso civico, al di fuori delle ipotesi previste dall'articolo 5‐bis,)) costituiscono eventuale causa di responsabilità per danno all'immagine </w:t>
      </w:r>
      <w:r w:rsidR="00520C5E" w:rsidRPr="00B67FEC">
        <w:rPr>
          <w:rFonts w:cs="Calibri"/>
          <w:szCs w:val="20"/>
        </w:rPr>
        <w:t xml:space="preserve">della </w:t>
      </w:r>
      <w:r w:rsidR="00F902C5" w:rsidRPr="00B67FEC">
        <w:rPr>
          <w:rFonts w:cs="Calibri"/>
          <w:szCs w:val="20"/>
        </w:rPr>
        <w:t>Società</w:t>
      </w:r>
      <w:r w:rsidR="007D5EA6" w:rsidRPr="00B67FEC">
        <w:rPr>
          <w:rFonts w:cs="Calibri"/>
          <w:szCs w:val="20"/>
        </w:rPr>
        <w:t>.</w:t>
      </w:r>
    </w:p>
    <w:p w:rsidR="007D5EA6" w:rsidRPr="00B67FEC" w:rsidRDefault="007D5EA6" w:rsidP="0049154B">
      <w:pPr>
        <w:rPr>
          <w:rFonts w:cs="Calibri"/>
          <w:szCs w:val="20"/>
        </w:rPr>
      </w:pPr>
      <w:r w:rsidRPr="00B67FEC">
        <w:rPr>
          <w:rFonts w:cs="Calibri"/>
          <w:szCs w:val="20"/>
        </w:rPr>
        <w:t xml:space="preserve">Il </w:t>
      </w:r>
      <w:r w:rsidR="008F7E78" w:rsidRPr="00B67FEC">
        <w:rPr>
          <w:rFonts w:cs="Calibri"/>
          <w:szCs w:val="20"/>
        </w:rPr>
        <w:t>RPC</w:t>
      </w:r>
      <w:r w:rsidR="00834CB0" w:rsidRPr="00B67FEC">
        <w:rPr>
          <w:rFonts w:cs="Calibri"/>
          <w:szCs w:val="20"/>
        </w:rPr>
        <w:t xml:space="preserve"> </w:t>
      </w:r>
      <w:r w:rsidRPr="00B67FEC">
        <w:rPr>
          <w:rFonts w:cs="Calibri"/>
          <w:szCs w:val="20"/>
        </w:rPr>
        <w:t>non risponde dell'inadempimento degli obblighi di cui sopra se prova che tale inadempimento è dipeso da causa a lui non imputabile.</w:t>
      </w:r>
    </w:p>
    <w:p w:rsidR="007229BA" w:rsidRPr="008E2618" w:rsidRDefault="00571093" w:rsidP="008E2618">
      <w:pPr>
        <w:pStyle w:val="Titolo3"/>
      </w:pPr>
      <w:bookmarkStart w:id="64" w:name="_Toc28881623"/>
      <w:bookmarkStart w:id="65" w:name="_Toc101602012"/>
      <w:r w:rsidRPr="008E2618">
        <w:lastRenderedPageBreak/>
        <w:t>D</w:t>
      </w:r>
      <w:r w:rsidR="007229BA" w:rsidRPr="008E2618">
        <w:t>ei dipendenti per violazione delle misure di</w:t>
      </w:r>
      <w:r w:rsidRPr="008E2618">
        <w:t xml:space="preserve"> </w:t>
      </w:r>
      <w:r w:rsidR="007229BA" w:rsidRPr="008E2618">
        <w:t>prevenzione</w:t>
      </w:r>
      <w:bookmarkEnd w:id="64"/>
      <w:bookmarkEnd w:id="65"/>
    </w:p>
    <w:p w:rsidR="007C71EF" w:rsidRPr="00B67FEC" w:rsidRDefault="007229BA" w:rsidP="007C71EF">
      <w:pPr>
        <w:rPr>
          <w:rFonts w:cs="Calibri"/>
          <w:szCs w:val="20"/>
        </w:rPr>
      </w:pPr>
      <w:r w:rsidRPr="00B67FEC">
        <w:rPr>
          <w:rFonts w:cs="Calibri"/>
          <w:szCs w:val="20"/>
        </w:rPr>
        <w:t xml:space="preserve">Le misure di prevenzione e contrasto alla corruzione adottate e trasfuse nel </w:t>
      </w:r>
      <w:proofErr w:type="spellStart"/>
      <w:r w:rsidR="00143056" w:rsidRPr="00B67FEC">
        <w:rPr>
          <w:rFonts w:cs="Calibri"/>
          <w:szCs w:val="20"/>
        </w:rPr>
        <w:t>PTPCeT</w:t>
      </w:r>
      <w:proofErr w:type="spellEnd"/>
      <w:r w:rsidRPr="00B67FEC">
        <w:rPr>
          <w:rFonts w:cs="Calibri"/>
          <w:szCs w:val="20"/>
        </w:rPr>
        <w:t xml:space="preserve"> devo</w:t>
      </w:r>
      <w:r w:rsidR="00571093" w:rsidRPr="00B67FEC">
        <w:rPr>
          <w:rFonts w:cs="Calibri"/>
          <w:szCs w:val="20"/>
        </w:rPr>
        <w:t xml:space="preserve">no essere rispettate da tutti i </w:t>
      </w:r>
      <w:r w:rsidRPr="00B67FEC">
        <w:rPr>
          <w:rFonts w:cs="Calibri"/>
          <w:szCs w:val="20"/>
        </w:rPr>
        <w:t>dipendenti</w:t>
      </w:r>
      <w:r w:rsidR="00CC25D1" w:rsidRPr="00B67FEC">
        <w:rPr>
          <w:rFonts w:cs="Calibri"/>
          <w:szCs w:val="20"/>
        </w:rPr>
        <w:t>:</w:t>
      </w:r>
      <w:r w:rsidRPr="00B67FEC">
        <w:rPr>
          <w:rFonts w:cs="Calibri"/>
          <w:szCs w:val="20"/>
        </w:rPr>
        <w:t xml:space="preserve"> “</w:t>
      </w:r>
      <w:r w:rsidRPr="00B67FEC">
        <w:rPr>
          <w:rFonts w:cs="Calibri"/>
          <w:i/>
          <w:iCs/>
          <w:szCs w:val="20"/>
        </w:rPr>
        <w:t>la</w:t>
      </w:r>
      <w:r w:rsidR="00571093" w:rsidRPr="00B67FEC">
        <w:rPr>
          <w:rFonts w:cs="Calibri"/>
          <w:szCs w:val="20"/>
        </w:rPr>
        <w:t xml:space="preserve"> </w:t>
      </w:r>
      <w:r w:rsidRPr="00B67FEC">
        <w:rPr>
          <w:rFonts w:cs="Calibri"/>
          <w:i/>
          <w:iCs/>
          <w:szCs w:val="20"/>
        </w:rPr>
        <w:t>violazione delle misure di prevenzione previste dal piano costituisce illecito disciplinare</w:t>
      </w:r>
      <w:r w:rsidRPr="00B67FEC">
        <w:rPr>
          <w:rFonts w:cs="Calibri"/>
          <w:szCs w:val="20"/>
        </w:rPr>
        <w:t>” (art.</w:t>
      </w:r>
      <w:r w:rsidR="00571093" w:rsidRPr="00B67FEC">
        <w:rPr>
          <w:rFonts w:cs="Calibri"/>
          <w:szCs w:val="20"/>
        </w:rPr>
        <w:t xml:space="preserve"> </w:t>
      </w:r>
      <w:r w:rsidRPr="00B67FEC">
        <w:rPr>
          <w:rFonts w:cs="Calibri"/>
          <w:szCs w:val="20"/>
        </w:rPr>
        <w:t xml:space="preserve">1, comma </w:t>
      </w:r>
      <w:smartTag w:uri="urn:schemas-microsoft-com:office:smarttags" w:element="metricconverter">
        <w:smartTagPr>
          <w:attr w:name="ProductID" w:val="14, l"/>
        </w:smartTagPr>
        <w:r w:rsidRPr="00B67FEC">
          <w:rPr>
            <w:rFonts w:cs="Calibri"/>
            <w:szCs w:val="20"/>
          </w:rPr>
          <w:t>14, l</w:t>
        </w:r>
      </w:smartTag>
      <w:r w:rsidRPr="00B67FEC">
        <w:rPr>
          <w:rFonts w:cs="Calibri"/>
          <w:szCs w:val="20"/>
        </w:rPr>
        <w:t>. n. 190).</w:t>
      </w:r>
      <w:bookmarkStart w:id="66" w:name="_Toc28881624"/>
      <w:bookmarkStart w:id="67" w:name="_Toc28967353"/>
    </w:p>
    <w:p w:rsidR="007229BA" w:rsidRPr="008E2618" w:rsidRDefault="001A49D3" w:rsidP="008E2618">
      <w:pPr>
        <w:pStyle w:val="Titolo3"/>
      </w:pPr>
      <w:bookmarkStart w:id="68" w:name="_Toc101602013"/>
      <w:r w:rsidRPr="008E2618">
        <w:t>D</w:t>
      </w:r>
      <w:r w:rsidR="007C71EF" w:rsidRPr="008E2618">
        <w:t>ei c</w:t>
      </w:r>
      <w:r w:rsidRPr="008E2618">
        <w:t>ollaboratori</w:t>
      </w:r>
      <w:r w:rsidR="007229BA" w:rsidRPr="008E2618">
        <w:t xml:space="preserve"> per omissione totale o parziale o per ritardi</w:t>
      </w:r>
      <w:r w:rsidR="00341F18" w:rsidRPr="008E2618">
        <w:t xml:space="preserve"> </w:t>
      </w:r>
      <w:r w:rsidR="007229BA" w:rsidRPr="008E2618">
        <w:t>nelle pubblicazioni prescritte</w:t>
      </w:r>
      <w:bookmarkEnd w:id="66"/>
      <w:bookmarkEnd w:id="67"/>
      <w:bookmarkEnd w:id="68"/>
    </w:p>
    <w:p w:rsidR="007D5EA6" w:rsidRPr="00B67FEC" w:rsidRDefault="00FB6636" w:rsidP="0049154B">
      <w:pPr>
        <w:rPr>
          <w:rFonts w:cs="Calibri"/>
          <w:szCs w:val="20"/>
        </w:rPr>
      </w:pPr>
      <w:r w:rsidRPr="00B67FEC">
        <w:rPr>
          <w:rFonts w:cs="Calibri"/>
          <w:szCs w:val="20"/>
        </w:rPr>
        <w:t xml:space="preserve">Ai sensi dell’art. 46 del d.lgs. 33/2013, l'inadempimento degli obblighi di pubblicazione previsti dalla normativa vigente e il rifiuto, il differimento e la limitazione dell'accesso civico, al di fuori delle ipotesi previste dall'articolo 5-bis, costituiscono eventuale causa di responsabilità per danno all'immagine </w:t>
      </w:r>
      <w:r w:rsidR="00520C5E" w:rsidRPr="00B67FEC">
        <w:rPr>
          <w:rFonts w:cs="Calibri"/>
          <w:szCs w:val="20"/>
        </w:rPr>
        <w:t xml:space="preserve">della </w:t>
      </w:r>
      <w:r w:rsidR="00F902C5" w:rsidRPr="00B67FEC">
        <w:rPr>
          <w:rFonts w:cs="Calibri"/>
          <w:szCs w:val="20"/>
        </w:rPr>
        <w:t>Società</w:t>
      </w:r>
      <w:r w:rsidRPr="00B67FEC">
        <w:rPr>
          <w:rFonts w:cs="Calibri"/>
          <w:szCs w:val="20"/>
        </w:rPr>
        <w:t>.</w:t>
      </w:r>
    </w:p>
    <w:p w:rsidR="00D57C01" w:rsidRPr="00B67FEC" w:rsidRDefault="00D57C01" w:rsidP="0049154B">
      <w:pPr>
        <w:rPr>
          <w:rFonts w:cs="Calibri"/>
          <w:szCs w:val="20"/>
        </w:rPr>
      </w:pPr>
    </w:p>
    <w:p w:rsidR="00DF2FF0" w:rsidRPr="00DA60F3" w:rsidRDefault="00064581" w:rsidP="0049154B">
      <w:pPr>
        <w:pStyle w:val="Titolo1"/>
        <w:rPr>
          <w:rFonts w:cs="Calibri"/>
        </w:rPr>
      </w:pPr>
      <w:bookmarkStart w:id="69" w:name="_Toc28881625"/>
      <w:bookmarkStart w:id="70" w:name="_Toc28966881"/>
      <w:bookmarkStart w:id="71" w:name="_Toc28967101"/>
      <w:bookmarkStart w:id="72" w:name="_Toc28967354"/>
      <w:bookmarkStart w:id="73" w:name="_Toc101602014"/>
      <w:r w:rsidRPr="00B67FEC">
        <w:rPr>
          <w:rFonts w:cs="Calibri"/>
        </w:rPr>
        <w:t xml:space="preserve">D. SISTEMA </w:t>
      </w:r>
      <w:proofErr w:type="spellStart"/>
      <w:r w:rsidRPr="00B67FEC">
        <w:rPr>
          <w:rFonts w:cs="Calibri"/>
        </w:rPr>
        <w:t>DI</w:t>
      </w:r>
      <w:proofErr w:type="spellEnd"/>
      <w:r w:rsidRPr="00B67FEC">
        <w:rPr>
          <w:rFonts w:cs="Calibri"/>
        </w:rPr>
        <w:t xml:space="preserve"> </w:t>
      </w:r>
      <w:r w:rsidR="00DF2FF0" w:rsidRPr="00B67FEC">
        <w:rPr>
          <w:rFonts w:cs="Calibri"/>
        </w:rPr>
        <w:t>MONITORAGGIO</w:t>
      </w:r>
      <w:bookmarkEnd w:id="69"/>
      <w:bookmarkEnd w:id="70"/>
      <w:bookmarkEnd w:id="71"/>
      <w:bookmarkEnd w:id="72"/>
      <w:r w:rsidR="001624E8">
        <w:rPr>
          <w:rFonts w:cs="Calibri"/>
        </w:rPr>
        <w:t xml:space="preserve"> </w:t>
      </w:r>
      <w:r w:rsidR="001624E8" w:rsidRPr="00DA60F3">
        <w:rPr>
          <w:rFonts w:cs="Calibri"/>
        </w:rPr>
        <w:t>| D</w:t>
      </w:r>
      <w:bookmarkEnd w:id="73"/>
    </w:p>
    <w:p w:rsidR="00DF2FF0" w:rsidRPr="00B67FEC" w:rsidRDefault="001624E8" w:rsidP="0049154B">
      <w:pPr>
        <w:rPr>
          <w:rFonts w:cs="Calibri"/>
          <w:szCs w:val="20"/>
        </w:rPr>
      </w:pPr>
      <w:r w:rsidRPr="001624E8">
        <w:rPr>
          <w:rFonts w:cs="Calibri"/>
          <w:color w:val="C00000"/>
          <w:szCs w:val="20"/>
        </w:rPr>
        <w:t>D1</w:t>
      </w:r>
      <w:r>
        <w:rPr>
          <w:rFonts w:cs="Calibri"/>
          <w:szCs w:val="20"/>
        </w:rPr>
        <w:t xml:space="preserve"> </w:t>
      </w:r>
      <w:r w:rsidR="00DF2FF0" w:rsidRPr="00B67FEC">
        <w:rPr>
          <w:rFonts w:cs="Calibri"/>
          <w:szCs w:val="20"/>
        </w:rPr>
        <w:t xml:space="preserve">Il monitoraggio interno sull’attuazione del </w:t>
      </w:r>
      <w:proofErr w:type="spellStart"/>
      <w:r w:rsidR="00DF2FF0" w:rsidRPr="00B67FEC">
        <w:rPr>
          <w:rFonts w:cs="Calibri"/>
          <w:szCs w:val="20"/>
        </w:rPr>
        <w:t>PTPCeT</w:t>
      </w:r>
      <w:proofErr w:type="spellEnd"/>
      <w:r w:rsidR="00DF2FF0" w:rsidRPr="00B67FEC">
        <w:rPr>
          <w:rFonts w:cs="Calibri"/>
          <w:szCs w:val="20"/>
        </w:rPr>
        <w:t xml:space="preserve"> viene svolto secondo le seguenti modalità:</w:t>
      </w:r>
    </w:p>
    <w:p w:rsidR="00DF2FF0" w:rsidRPr="00B67FEC" w:rsidRDefault="00F902C5" w:rsidP="00B67FEC">
      <w:pPr>
        <w:numPr>
          <w:ilvl w:val="0"/>
          <w:numId w:val="11"/>
        </w:numPr>
        <w:rPr>
          <w:rFonts w:cs="Calibri"/>
          <w:szCs w:val="20"/>
        </w:rPr>
      </w:pPr>
      <w:r w:rsidRPr="00B67FEC">
        <w:rPr>
          <w:rFonts w:cs="Calibri"/>
          <w:szCs w:val="20"/>
        </w:rPr>
        <w:t>La</w:t>
      </w:r>
      <w:r w:rsidR="00DF2FF0" w:rsidRPr="00B67FEC">
        <w:rPr>
          <w:rFonts w:cs="Calibri"/>
          <w:szCs w:val="20"/>
        </w:rPr>
        <w:t xml:space="preserve"> responsabilità di monitoraggio è assegnata al </w:t>
      </w:r>
      <w:r w:rsidR="008F7E78" w:rsidRPr="00B67FEC">
        <w:rPr>
          <w:rFonts w:cs="Calibri"/>
          <w:szCs w:val="20"/>
        </w:rPr>
        <w:t>R</w:t>
      </w:r>
      <w:r w:rsidR="00DF2FF0" w:rsidRPr="00B67FEC">
        <w:rPr>
          <w:rFonts w:cs="Calibri"/>
          <w:szCs w:val="20"/>
        </w:rPr>
        <w:t>esponsabile per la prevenzione della corruzione;</w:t>
      </w:r>
    </w:p>
    <w:p w:rsidR="00DF2FF0" w:rsidRPr="00B67FEC" w:rsidRDefault="00F902C5" w:rsidP="00B67FEC">
      <w:pPr>
        <w:numPr>
          <w:ilvl w:val="0"/>
          <w:numId w:val="11"/>
        </w:numPr>
        <w:rPr>
          <w:rFonts w:cs="Calibri"/>
          <w:szCs w:val="20"/>
        </w:rPr>
      </w:pPr>
      <w:r w:rsidRPr="00B67FEC">
        <w:rPr>
          <w:rFonts w:cs="Calibri"/>
          <w:szCs w:val="20"/>
        </w:rPr>
        <w:t>Il</w:t>
      </w:r>
      <w:r w:rsidR="00DF2FF0" w:rsidRPr="00B67FEC">
        <w:rPr>
          <w:rFonts w:cs="Calibri"/>
          <w:szCs w:val="20"/>
        </w:rPr>
        <w:t xml:space="preserve"> monitoraggio è effettuato in coordinamento con i dipendenti </w:t>
      </w:r>
      <w:r w:rsidR="00520C5E" w:rsidRPr="00B67FEC">
        <w:rPr>
          <w:rFonts w:cs="Calibri"/>
          <w:szCs w:val="20"/>
        </w:rPr>
        <w:t xml:space="preserve">della </w:t>
      </w:r>
      <w:r w:rsidRPr="00B67FEC">
        <w:rPr>
          <w:rFonts w:cs="Calibri"/>
          <w:szCs w:val="20"/>
        </w:rPr>
        <w:t>Società</w:t>
      </w:r>
      <w:r w:rsidR="00DF2FF0" w:rsidRPr="00B67FEC">
        <w:rPr>
          <w:rFonts w:cs="Calibri"/>
          <w:szCs w:val="20"/>
        </w:rPr>
        <w:t xml:space="preserve"> e i criteri adottati per il monitoraggio sono: </w:t>
      </w:r>
    </w:p>
    <w:p w:rsidR="007C71EF" w:rsidRPr="00B67FEC" w:rsidRDefault="00F902C5" w:rsidP="00B67FEC">
      <w:pPr>
        <w:numPr>
          <w:ilvl w:val="1"/>
          <w:numId w:val="11"/>
        </w:numPr>
        <w:rPr>
          <w:rFonts w:cs="Calibri"/>
          <w:szCs w:val="20"/>
        </w:rPr>
      </w:pPr>
      <w:r w:rsidRPr="00B67FEC">
        <w:rPr>
          <w:rFonts w:cs="Calibri"/>
          <w:szCs w:val="20"/>
        </w:rPr>
        <w:t>Il</w:t>
      </w:r>
      <w:r w:rsidR="00DF2FF0" w:rsidRPr="00B67FEC">
        <w:rPr>
          <w:rFonts w:cs="Calibri"/>
          <w:szCs w:val="20"/>
        </w:rPr>
        <w:t xml:space="preserve"> rispetto delle scadenze previste dal Piano</w:t>
      </w:r>
      <w:r w:rsidR="00494211" w:rsidRPr="00B67FEC">
        <w:rPr>
          <w:rFonts w:cs="Calibri"/>
          <w:szCs w:val="20"/>
        </w:rPr>
        <w:t>;</w:t>
      </w:r>
    </w:p>
    <w:p w:rsidR="00DF2FF0" w:rsidRPr="00B67FEC" w:rsidRDefault="00F902C5" w:rsidP="00B67FEC">
      <w:pPr>
        <w:numPr>
          <w:ilvl w:val="1"/>
          <w:numId w:val="11"/>
        </w:numPr>
        <w:rPr>
          <w:rFonts w:cs="Calibri"/>
          <w:szCs w:val="20"/>
        </w:rPr>
      </w:pPr>
      <w:r w:rsidRPr="00B67FEC">
        <w:rPr>
          <w:rFonts w:cs="Calibri"/>
          <w:szCs w:val="20"/>
        </w:rPr>
        <w:t>L’esecuzione</w:t>
      </w:r>
      <w:r w:rsidR="00DF2FF0" w:rsidRPr="00B67FEC">
        <w:rPr>
          <w:rFonts w:cs="Calibri"/>
          <w:szCs w:val="20"/>
        </w:rPr>
        <w:t xml:space="preserve"> delle misure correttive del rischio</w:t>
      </w:r>
      <w:r w:rsidR="008F7E78" w:rsidRPr="00B67FEC">
        <w:rPr>
          <w:rFonts w:cs="Calibri"/>
          <w:szCs w:val="20"/>
        </w:rPr>
        <w:t>;</w:t>
      </w:r>
    </w:p>
    <w:p w:rsidR="008F7E78" w:rsidRPr="00B67FEC" w:rsidRDefault="00F902C5" w:rsidP="00B67FEC">
      <w:pPr>
        <w:numPr>
          <w:ilvl w:val="1"/>
          <w:numId w:val="11"/>
        </w:numPr>
        <w:rPr>
          <w:rFonts w:cs="Calibri"/>
          <w:szCs w:val="20"/>
        </w:rPr>
      </w:pPr>
      <w:r w:rsidRPr="00B67FEC">
        <w:rPr>
          <w:rFonts w:cs="Calibri"/>
          <w:szCs w:val="20"/>
        </w:rPr>
        <w:t>Rendicontazione</w:t>
      </w:r>
      <w:r w:rsidR="008F7E78" w:rsidRPr="00B67FEC">
        <w:rPr>
          <w:rFonts w:cs="Calibri"/>
          <w:szCs w:val="20"/>
        </w:rPr>
        <w:t xml:space="preserve"> degli obiettivi Anticorruzione e Trasparenza contestualmente alla formalizzazione della relazione annuale RPC.</w:t>
      </w:r>
    </w:p>
    <w:p w:rsidR="00DF2FF0" w:rsidRPr="00B67FEC" w:rsidRDefault="00F902C5" w:rsidP="00B67FEC">
      <w:pPr>
        <w:numPr>
          <w:ilvl w:val="0"/>
          <w:numId w:val="11"/>
        </w:numPr>
        <w:rPr>
          <w:rFonts w:cs="Calibri"/>
          <w:szCs w:val="20"/>
        </w:rPr>
      </w:pPr>
      <w:r w:rsidRPr="00B67FEC">
        <w:rPr>
          <w:rFonts w:cs="Calibri"/>
          <w:szCs w:val="20"/>
        </w:rPr>
        <w:t>Il</w:t>
      </w:r>
      <w:r w:rsidR="00DF2FF0" w:rsidRPr="00B67FEC">
        <w:rPr>
          <w:rFonts w:cs="Calibri"/>
          <w:szCs w:val="20"/>
        </w:rPr>
        <w:t xml:space="preserve"> </w:t>
      </w:r>
      <w:r w:rsidR="008F7E78" w:rsidRPr="00B67FEC">
        <w:rPr>
          <w:rFonts w:cs="Calibri"/>
          <w:szCs w:val="20"/>
        </w:rPr>
        <w:t>R</w:t>
      </w:r>
      <w:r w:rsidR="00DF2FF0" w:rsidRPr="00B67FEC">
        <w:rPr>
          <w:rFonts w:cs="Calibri"/>
          <w:szCs w:val="20"/>
        </w:rPr>
        <w:t xml:space="preserve">esponsabile per la prevenzione della corruzione ogni anno, entro il </w:t>
      </w:r>
      <w:r w:rsidR="00CC25D1" w:rsidRPr="00B67FEC">
        <w:rPr>
          <w:rFonts w:cs="Calibri"/>
          <w:szCs w:val="20"/>
        </w:rPr>
        <w:t>la</w:t>
      </w:r>
      <w:r w:rsidR="00DF2FF0" w:rsidRPr="00B67FEC">
        <w:rPr>
          <w:rFonts w:cs="Calibri"/>
          <w:szCs w:val="20"/>
        </w:rPr>
        <w:t xml:space="preserve"> data prevista da ANAC, predispone </w:t>
      </w:r>
      <w:r w:rsidR="00494211" w:rsidRPr="00B67FEC">
        <w:rPr>
          <w:rFonts w:cs="Calibri"/>
          <w:szCs w:val="20"/>
        </w:rPr>
        <w:t xml:space="preserve">la </w:t>
      </w:r>
      <w:r w:rsidR="00DF2FF0" w:rsidRPr="00B67FEC">
        <w:rPr>
          <w:rFonts w:cs="Calibri"/>
          <w:szCs w:val="20"/>
        </w:rPr>
        <w:t xml:space="preserve">relazione recante i risultati dell’attività svolta </w:t>
      </w:r>
      <w:r w:rsidR="00494211" w:rsidRPr="00B67FEC">
        <w:rPr>
          <w:rFonts w:cs="Calibri"/>
          <w:szCs w:val="20"/>
        </w:rPr>
        <w:t xml:space="preserve">attraverso la funzione “Monitoraggio” della Piattaforma ANAC di trasmissione PTPC </w:t>
      </w:r>
      <w:r w:rsidR="00DF2FF0" w:rsidRPr="00B67FEC">
        <w:rPr>
          <w:rFonts w:cs="Calibri"/>
          <w:szCs w:val="20"/>
        </w:rPr>
        <w:t xml:space="preserve">e </w:t>
      </w:r>
      <w:r w:rsidR="00CC25D1" w:rsidRPr="00B67FEC">
        <w:rPr>
          <w:rFonts w:cs="Calibri"/>
          <w:szCs w:val="20"/>
        </w:rPr>
        <w:t>ne cura la</w:t>
      </w:r>
      <w:r w:rsidR="00DF2FF0" w:rsidRPr="00B67FEC">
        <w:rPr>
          <w:rFonts w:cs="Calibri"/>
          <w:szCs w:val="20"/>
        </w:rPr>
        <w:t xml:space="preserve"> pubblicazione sul sito nella sezione “</w:t>
      </w:r>
      <w:r w:rsidR="00CC25D1" w:rsidRPr="00B67FEC">
        <w:rPr>
          <w:rFonts w:cs="Calibri"/>
          <w:szCs w:val="20"/>
        </w:rPr>
        <w:t>Società</w:t>
      </w:r>
      <w:r w:rsidR="00DF2FF0" w:rsidRPr="00B67FEC">
        <w:rPr>
          <w:rFonts w:cs="Calibri"/>
          <w:szCs w:val="20"/>
        </w:rPr>
        <w:t xml:space="preserve"> Trasparente</w:t>
      </w:r>
      <w:r w:rsidR="00494211" w:rsidRPr="00B67FEC">
        <w:rPr>
          <w:rFonts w:cs="Calibri"/>
          <w:szCs w:val="20"/>
        </w:rPr>
        <w:t>”.</w:t>
      </w:r>
    </w:p>
    <w:p w:rsidR="00EF3D80" w:rsidRPr="00B67FEC" w:rsidRDefault="00EF3D80" w:rsidP="0049154B">
      <w:pPr>
        <w:rPr>
          <w:rFonts w:cs="Calibri"/>
          <w:szCs w:val="20"/>
        </w:rPr>
      </w:pPr>
    </w:p>
    <w:p w:rsidR="00DF2FF0" w:rsidRPr="00B67FEC" w:rsidRDefault="00DF2FF0" w:rsidP="0049154B">
      <w:pPr>
        <w:rPr>
          <w:rFonts w:cs="Calibri"/>
          <w:szCs w:val="20"/>
        </w:rPr>
      </w:pPr>
      <w:r w:rsidRPr="00B67FEC">
        <w:rPr>
          <w:rFonts w:cs="Calibri"/>
          <w:szCs w:val="20"/>
        </w:rPr>
        <w:t>Al fine di produrre un idoneo flusso di informazioni verso l</w:t>
      </w:r>
      <w:r w:rsidR="008F7E78" w:rsidRPr="00B67FEC">
        <w:rPr>
          <w:rFonts w:cs="Calibri"/>
          <w:szCs w:val="20"/>
        </w:rPr>
        <w:t>’</w:t>
      </w:r>
      <w:r w:rsidRPr="00B67FEC">
        <w:rPr>
          <w:rFonts w:cs="Calibri"/>
          <w:szCs w:val="20"/>
        </w:rPr>
        <w:t>amministrazion</w:t>
      </w:r>
      <w:r w:rsidR="008F7E78" w:rsidRPr="00B67FEC">
        <w:rPr>
          <w:rFonts w:cs="Calibri"/>
          <w:szCs w:val="20"/>
        </w:rPr>
        <w:t>e</w:t>
      </w:r>
      <w:r w:rsidRPr="00B67FEC">
        <w:rPr>
          <w:rFonts w:cs="Calibri"/>
          <w:szCs w:val="20"/>
        </w:rPr>
        <w:t xml:space="preserve"> che ha </w:t>
      </w:r>
      <w:r w:rsidR="00CC25D1" w:rsidRPr="00B67FEC">
        <w:rPr>
          <w:rFonts w:cs="Calibri"/>
          <w:szCs w:val="20"/>
        </w:rPr>
        <w:t>controlla</w:t>
      </w:r>
      <w:r w:rsidRPr="00B67FEC">
        <w:rPr>
          <w:rFonts w:cs="Calibri"/>
          <w:szCs w:val="20"/>
        </w:rPr>
        <w:t xml:space="preserve"> </w:t>
      </w:r>
      <w:r w:rsidR="00F902C5" w:rsidRPr="00B67FEC">
        <w:rPr>
          <w:rFonts w:cs="Calibri"/>
          <w:szCs w:val="20"/>
        </w:rPr>
        <w:t>la Società</w:t>
      </w:r>
      <w:r w:rsidRPr="00B67FEC">
        <w:rPr>
          <w:rFonts w:cs="Calibri"/>
          <w:szCs w:val="20"/>
        </w:rPr>
        <w:t xml:space="preserve">, il RPC invia il </w:t>
      </w:r>
      <w:proofErr w:type="spellStart"/>
      <w:r w:rsidRPr="00B67FEC">
        <w:rPr>
          <w:rFonts w:cs="Calibri"/>
          <w:szCs w:val="20"/>
        </w:rPr>
        <w:t>PTPCeT</w:t>
      </w:r>
      <w:proofErr w:type="spellEnd"/>
      <w:r w:rsidRPr="00B67FEC">
        <w:rPr>
          <w:rFonts w:cs="Calibri"/>
          <w:szCs w:val="20"/>
        </w:rPr>
        <w:t xml:space="preserve">, le proprie relazioni annuali e ogni altra informazione richiesta in merito all’attuazione delle misure </w:t>
      </w:r>
      <w:r w:rsidR="00F902C5" w:rsidRPr="00B67FEC">
        <w:rPr>
          <w:rFonts w:cs="Calibri"/>
          <w:szCs w:val="20"/>
        </w:rPr>
        <w:t>anti corruttive</w:t>
      </w:r>
      <w:r w:rsidRPr="00B67FEC">
        <w:rPr>
          <w:rFonts w:cs="Calibri"/>
          <w:szCs w:val="20"/>
        </w:rPr>
        <w:t xml:space="preserve"> adottate </w:t>
      </w:r>
      <w:r w:rsidR="008F7E78" w:rsidRPr="00B67FEC">
        <w:rPr>
          <w:rFonts w:cs="Calibri"/>
          <w:szCs w:val="20"/>
        </w:rPr>
        <w:t xml:space="preserve">al Comune di </w:t>
      </w:r>
      <w:r w:rsidR="00F902C5" w:rsidRPr="00B67FEC">
        <w:rPr>
          <w:rFonts w:cs="Calibri"/>
          <w:szCs w:val="20"/>
        </w:rPr>
        <w:t>Segrate</w:t>
      </w:r>
      <w:r w:rsidRPr="00B67FEC">
        <w:rPr>
          <w:rFonts w:cs="Calibri"/>
          <w:szCs w:val="20"/>
        </w:rPr>
        <w:t>.</w:t>
      </w:r>
    </w:p>
    <w:p w:rsidR="00D74DEB" w:rsidRPr="00B67FEC" w:rsidRDefault="00D74DEB" w:rsidP="0049154B">
      <w:pPr>
        <w:rPr>
          <w:rFonts w:cs="Calibri"/>
          <w:szCs w:val="20"/>
        </w:rPr>
      </w:pPr>
    </w:p>
    <w:p w:rsidR="001624E8" w:rsidRPr="00DA60F3" w:rsidRDefault="001624E8" w:rsidP="001624E8">
      <w:pPr>
        <w:rPr>
          <w:rFonts w:cstheme="minorHAnsi"/>
        </w:rPr>
      </w:pPr>
      <w:r w:rsidRPr="00DA60F3">
        <w:rPr>
          <w:rFonts w:cstheme="minorHAnsi"/>
        </w:rPr>
        <w:t>D.2 Rispetto al complesso del monitoraggio dell’anno precedente, il presente piano tiene conto dei seguenti “elementi in uscita”:</w:t>
      </w:r>
    </w:p>
    <w:p w:rsidR="001624E8" w:rsidRPr="00DA60F3" w:rsidRDefault="001624E8" w:rsidP="00B61F65">
      <w:pPr>
        <w:pStyle w:val="Paragrafoelenco"/>
        <w:numPr>
          <w:ilvl w:val="1"/>
          <w:numId w:val="5"/>
        </w:numPr>
        <w:spacing w:after="240"/>
        <w:rPr>
          <w:rFonts w:cstheme="minorHAnsi"/>
        </w:rPr>
      </w:pPr>
      <w:r w:rsidRPr="00DA60F3">
        <w:rPr>
          <w:rFonts w:cstheme="minorHAnsi"/>
        </w:rPr>
        <w:t xml:space="preserve">esiti </w:t>
      </w:r>
      <w:r w:rsidR="00B61F65" w:rsidRPr="00DA60F3">
        <w:rPr>
          <w:rFonts w:cstheme="minorHAnsi"/>
        </w:rPr>
        <w:t xml:space="preserve">del monitoraggio complessivo RPS e </w:t>
      </w:r>
      <w:proofErr w:type="spellStart"/>
      <w:r w:rsidR="00B61F65" w:rsidRPr="00DA60F3">
        <w:rPr>
          <w:rFonts w:cstheme="minorHAnsi"/>
        </w:rPr>
        <w:t>OdV</w:t>
      </w:r>
      <w:proofErr w:type="spellEnd"/>
      <w:r w:rsidR="00B61F65" w:rsidRPr="00DA60F3">
        <w:rPr>
          <w:rFonts w:cstheme="minorHAnsi"/>
        </w:rPr>
        <w:t xml:space="preserve"> – richieste comitato di controllo del Comune di Segrate</w:t>
      </w:r>
    </w:p>
    <w:p w:rsidR="001624E8" w:rsidRPr="00DA60F3" w:rsidRDefault="001624E8" w:rsidP="001624E8">
      <w:pPr>
        <w:rPr>
          <w:rFonts w:cstheme="minorHAnsi"/>
        </w:rPr>
      </w:pPr>
      <w:r w:rsidRPr="00DA60F3">
        <w:rPr>
          <w:rFonts w:cstheme="minorHAnsi"/>
        </w:rPr>
        <w:t xml:space="preserve">D.3 Il monitoraggio consta di una valutazione accurata:  </w:t>
      </w:r>
    </w:p>
    <w:p w:rsidR="001624E8" w:rsidRPr="00DA60F3" w:rsidRDefault="001624E8" w:rsidP="00B61F65">
      <w:pPr>
        <w:pStyle w:val="Paragrafoelenco"/>
        <w:numPr>
          <w:ilvl w:val="1"/>
          <w:numId w:val="5"/>
        </w:numPr>
        <w:rPr>
          <w:rFonts w:cstheme="minorHAnsi"/>
        </w:rPr>
      </w:pPr>
      <w:r w:rsidRPr="00DA60F3">
        <w:rPr>
          <w:rFonts w:cstheme="minorHAnsi"/>
        </w:rPr>
        <w:t>dell’attuazione delle misure;</w:t>
      </w:r>
    </w:p>
    <w:p w:rsidR="001624E8" w:rsidRPr="00DA60F3" w:rsidRDefault="001624E8" w:rsidP="00B61F65">
      <w:pPr>
        <w:pStyle w:val="Paragrafoelenco"/>
        <w:numPr>
          <w:ilvl w:val="1"/>
          <w:numId w:val="5"/>
        </w:numPr>
        <w:spacing w:after="240"/>
        <w:rPr>
          <w:rFonts w:cstheme="minorHAnsi"/>
        </w:rPr>
      </w:pPr>
      <w:r w:rsidRPr="00DA60F3">
        <w:rPr>
          <w:rFonts w:cstheme="minorHAnsi"/>
        </w:rPr>
        <w:t>dell’idoneità delle misure di trattamento del rischio adottate dal PTPCT.</w:t>
      </w:r>
    </w:p>
    <w:p w:rsidR="001624E8" w:rsidRPr="00DA60F3" w:rsidRDefault="001624E8" w:rsidP="001624E8">
      <w:pPr>
        <w:spacing w:after="240"/>
        <w:rPr>
          <w:rFonts w:cstheme="minorHAnsi"/>
        </w:rPr>
      </w:pPr>
      <w:r w:rsidRPr="00DA60F3">
        <w:rPr>
          <w:rFonts w:cstheme="minorHAnsi"/>
        </w:rPr>
        <w:lastRenderedPageBreak/>
        <w:t>D.3.1 Le caratteristiche del sistema di monitoraggio comprendono pertanto:</w:t>
      </w:r>
    </w:p>
    <w:p w:rsidR="001624E8" w:rsidRPr="00DA60F3" w:rsidRDefault="001624E8" w:rsidP="001624E8">
      <w:pPr>
        <w:spacing w:after="240"/>
        <w:rPr>
          <w:rFonts w:cstheme="minorHAnsi"/>
        </w:rPr>
      </w:pPr>
      <w:r w:rsidRPr="00DA60F3">
        <w:rPr>
          <w:rFonts w:cstheme="minorHAnsi"/>
        </w:rPr>
        <w:t>D.3.1.1 i responsabili per ogni singola misura</w:t>
      </w:r>
      <w:r w:rsidRPr="00DA60F3">
        <w:rPr>
          <w:rFonts w:cstheme="minorHAnsi"/>
        </w:rPr>
        <w:tab/>
      </w:r>
      <w:r w:rsidRPr="00DA60F3">
        <w:rPr>
          <w:rFonts w:cstheme="minorHAnsi"/>
        </w:rPr>
        <w:tab/>
      </w:r>
    </w:p>
    <w:p w:rsidR="001624E8" w:rsidRPr="00DA60F3" w:rsidRDefault="001624E8" w:rsidP="001624E8">
      <w:pPr>
        <w:spacing w:after="240"/>
        <w:rPr>
          <w:rFonts w:cstheme="minorHAnsi"/>
        </w:rPr>
      </w:pPr>
      <w:r w:rsidRPr="00DA60F3">
        <w:rPr>
          <w:rFonts w:cstheme="minorHAnsi"/>
        </w:rPr>
        <w:t>D.3.1.2 i tempi del monitoraggio per ogni singola misura</w:t>
      </w:r>
      <w:r w:rsidRPr="00DA60F3">
        <w:rPr>
          <w:rFonts w:cstheme="minorHAnsi"/>
        </w:rPr>
        <w:tab/>
      </w:r>
    </w:p>
    <w:p w:rsidR="001624E8" w:rsidRPr="00DA60F3" w:rsidRDefault="001624E8" w:rsidP="001624E8">
      <w:pPr>
        <w:spacing w:after="240"/>
        <w:rPr>
          <w:rFonts w:cstheme="minorHAnsi"/>
        </w:rPr>
      </w:pPr>
      <w:r w:rsidRPr="00DA60F3">
        <w:rPr>
          <w:rFonts w:cstheme="minorHAnsi"/>
        </w:rPr>
        <w:t>D.3.1.3 degli indicatori specifici di monitoraggio per ogni singola misura</w:t>
      </w:r>
    </w:p>
    <w:p w:rsidR="001624E8" w:rsidRPr="00DA60F3" w:rsidRDefault="001624E8" w:rsidP="001624E8">
      <w:pPr>
        <w:spacing w:after="240"/>
        <w:rPr>
          <w:rFonts w:cstheme="minorHAnsi"/>
        </w:rPr>
      </w:pPr>
      <w:r w:rsidRPr="00DA60F3">
        <w:rPr>
          <w:rFonts w:cstheme="minorHAnsi"/>
        </w:rPr>
        <w:t>D.4 Il presente PTPCT contiene informazioni sugli esiti del monitoraggio sull’attuazione e sull’idoneità delle misure dell'anno precedente, specificatamente nei capitoli dedicati alla definizione delle misure GENERALI di contrasto alla corruzione e al “</w:t>
      </w:r>
      <w:r w:rsidRPr="00DA60F3">
        <w:rPr>
          <w:rFonts w:cstheme="minorHAnsi"/>
          <w:b/>
          <w:bCs/>
        </w:rPr>
        <w:t>Piano dei Rischi 2022</w:t>
      </w:r>
      <w:r w:rsidRPr="00DA60F3">
        <w:rPr>
          <w:rFonts w:cstheme="minorHAnsi"/>
        </w:rPr>
        <w:t>”, per quanto attiene l’elencazione delle misure SPECIFICHE di mitigazione del rischio.</w:t>
      </w:r>
    </w:p>
    <w:p w:rsidR="001624E8" w:rsidRPr="00DA60F3" w:rsidRDefault="001624E8" w:rsidP="001624E8">
      <w:pPr>
        <w:spacing w:after="240"/>
        <w:rPr>
          <w:rFonts w:cstheme="minorHAnsi"/>
        </w:rPr>
      </w:pPr>
      <w:r w:rsidRPr="00DA60F3">
        <w:rPr>
          <w:rFonts w:cstheme="minorHAnsi"/>
        </w:rPr>
        <w:t>D.4.1 Le informazioni fornite dal sistema di monitoraggio sull'attuazione e sull’idoneità delle misure dell'anno precedente sono state utilizzate per l'aggiornamento del PTPCT.</w:t>
      </w:r>
    </w:p>
    <w:p w:rsidR="001624E8" w:rsidRPr="00DA60F3" w:rsidRDefault="001624E8" w:rsidP="001624E8">
      <w:pPr>
        <w:spacing w:after="240"/>
        <w:rPr>
          <w:rFonts w:cstheme="minorHAnsi"/>
        </w:rPr>
      </w:pPr>
      <w:r w:rsidRPr="00DA60F3">
        <w:rPr>
          <w:rFonts w:cstheme="minorHAnsi"/>
        </w:rPr>
        <w:t>D.4.2 Gli esiti del monitoraggio sull'attuazione e sull’idoneità delle misure produrranno, se applicate regolarmente, informazioni utili a verificare l'idoneità delle misure e il loro impatto sull'organizzazione, che verranno trasfuse negli aggiornamenti del Piano stesso.</w:t>
      </w:r>
    </w:p>
    <w:p w:rsidR="001624E8" w:rsidRPr="00DA60F3" w:rsidRDefault="001624E8" w:rsidP="001624E8">
      <w:pPr>
        <w:spacing w:after="240"/>
        <w:rPr>
          <w:rFonts w:cstheme="minorHAnsi"/>
        </w:rPr>
      </w:pPr>
      <w:r w:rsidRPr="00DA60F3">
        <w:rPr>
          <w:rFonts w:cstheme="minorHAnsi"/>
        </w:rPr>
        <w:t>D.5 È infine previsto il mantenimento del riesame periodico della complessiva funzionalità del sistema di gestione del rischio.</w:t>
      </w:r>
    </w:p>
    <w:p w:rsidR="001624E8" w:rsidRPr="00DA60F3" w:rsidRDefault="001624E8" w:rsidP="001624E8">
      <w:pPr>
        <w:spacing w:after="240"/>
        <w:rPr>
          <w:rFonts w:cstheme="minorHAnsi"/>
        </w:rPr>
      </w:pPr>
      <w:r w:rsidRPr="00DA60F3">
        <w:rPr>
          <w:rFonts w:cstheme="minorHAnsi"/>
        </w:rPr>
        <w:t xml:space="preserve">D.5.1 La periodicità del riesame è annuale, gli organi da coinvolgere nel riesame periodico sono l’AU e l’Organismo di Vigilanza, in sede di </w:t>
      </w:r>
      <w:proofErr w:type="spellStart"/>
      <w:r w:rsidRPr="00DA60F3">
        <w:rPr>
          <w:rFonts w:cstheme="minorHAnsi"/>
        </w:rPr>
        <w:t>audit</w:t>
      </w:r>
      <w:proofErr w:type="spellEnd"/>
      <w:r w:rsidRPr="00DA60F3">
        <w:rPr>
          <w:rFonts w:cstheme="minorHAnsi"/>
        </w:rPr>
        <w:t xml:space="preserve"> del MOG 231.</w:t>
      </w:r>
    </w:p>
    <w:p w:rsidR="00D74DEB" w:rsidRPr="00B67FEC" w:rsidRDefault="00D74DEB" w:rsidP="00B264D6">
      <w:pPr>
        <w:pStyle w:val="Titolo1"/>
        <w:rPr>
          <w:rFonts w:cs="Calibri"/>
        </w:rPr>
      </w:pPr>
      <w:bookmarkStart w:id="74" w:name="_Toc28881626"/>
      <w:bookmarkStart w:id="75" w:name="_Toc28966882"/>
      <w:bookmarkStart w:id="76" w:name="_Toc28967102"/>
      <w:bookmarkStart w:id="77" w:name="_Toc28967355"/>
      <w:bookmarkStart w:id="78" w:name="_Toc101602015"/>
      <w:bookmarkStart w:id="79" w:name="_Toc472243205"/>
      <w:r w:rsidRPr="00B67FEC">
        <w:rPr>
          <w:rFonts w:cs="Calibri"/>
        </w:rPr>
        <w:t xml:space="preserve">E. COORDINAMENTO CON GLI STRUMENTI </w:t>
      </w:r>
      <w:proofErr w:type="spellStart"/>
      <w:r w:rsidRPr="00B67FEC">
        <w:rPr>
          <w:rFonts w:cs="Calibri"/>
        </w:rPr>
        <w:t>DI</w:t>
      </w:r>
      <w:proofErr w:type="spellEnd"/>
      <w:r w:rsidRPr="00B67FEC">
        <w:rPr>
          <w:rFonts w:cs="Calibri"/>
        </w:rPr>
        <w:t xml:space="preserve"> PROGRAMMAZIONE</w:t>
      </w:r>
      <w:bookmarkEnd w:id="74"/>
      <w:bookmarkEnd w:id="75"/>
      <w:bookmarkEnd w:id="76"/>
      <w:bookmarkEnd w:id="77"/>
      <w:bookmarkEnd w:id="78"/>
    </w:p>
    <w:p w:rsidR="00BF3278" w:rsidRPr="00B67FEC" w:rsidRDefault="00F902C5" w:rsidP="0049154B">
      <w:pPr>
        <w:rPr>
          <w:rFonts w:cs="Calibri"/>
          <w:szCs w:val="20"/>
        </w:rPr>
      </w:pPr>
      <w:r w:rsidRPr="00B67FEC">
        <w:rPr>
          <w:rFonts w:cs="Calibri"/>
          <w:szCs w:val="20"/>
        </w:rPr>
        <w:t>L’AU</w:t>
      </w:r>
      <w:r w:rsidR="00BF3278" w:rsidRPr="00B67FEC">
        <w:rPr>
          <w:rFonts w:cs="Calibri"/>
          <w:szCs w:val="20"/>
        </w:rPr>
        <w:t xml:space="preserve"> è chiamato a formalizzare gli obiettivi strategici di lotta e prevenzione della corruzione e trasparenza. </w:t>
      </w:r>
    </w:p>
    <w:p w:rsidR="00BF3278" w:rsidRPr="00B67FEC" w:rsidRDefault="00BF3278" w:rsidP="0049154B">
      <w:pPr>
        <w:rPr>
          <w:rFonts w:cs="Calibri"/>
          <w:szCs w:val="20"/>
        </w:rPr>
      </w:pPr>
      <w:r w:rsidRPr="00B67FEC">
        <w:rPr>
          <w:rFonts w:cs="Calibri"/>
          <w:szCs w:val="20"/>
        </w:rPr>
        <w:t xml:space="preserve">Per il triennio di vigenza del presente </w:t>
      </w:r>
      <w:proofErr w:type="spellStart"/>
      <w:r w:rsidRPr="00B67FEC">
        <w:rPr>
          <w:rFonts w:cs="Calibri"/>
          <w:szCs w:val="20"/>
        </w:rPr>
        <w:t>PTPCeT</w:t>
      </w:r>
      <w:proofErr w:type="spellEnd"/>
      <w:r w:rsidRPr="00B67FEC">
        <w:rPr>
          <w:rFonts w:cs="Calibri"/>
          <w:szCs w:val="20"/>
        </w:rPr>
        <w:t>, si perseguiranno i seguenti obiettivi specifici:</w:t>
      </w:r>
    </w:p>
    <w:p w:rsidR="008F7E78" w:rsidRPr="00B67FEC" w:rsidRDefault="008F7E78" w:rsidP="0049154B">
      <w:pPr>
        <w:rPr>
          <w:rFonts w:cs="Calibri"/>
          <w:szCs w:val="20"/>
        </w:rPr>
      </w:pPr>
    </w:p>
    <w:p w:rsidR="00BF3278" w:rsidRPr="008E2618" w:rsidRDefault="00BF3278" w:rsidP="008E2618">
      <w:pPr>
        <w:pStyle w:val="Titolo3"/>
      </w:pPr>
      <w:bookmarkStart w:id="80" w:name="_Toc101602016"/>
      <w:r w:rsidRPr="008E2618">
        <w:t>Obiettivi Strategici per la prevenzione della corruzione</w:t>
      </w:r>
      <w:bookmarkEnd w:id="80"/>
    </w:p>
    <w:p w:rsidR="008F7E78" w:rsidRPr="00B67FEC" w:rsidRDefault="00EC0950" w:rsidP="008F7E78">
      <w:pPr>
        <w:rPr>
          <w:rFonts w:cs="Calibri"/>
        </w:rPr>
      </w:pPr>
      <w:r>
        <w:rPr>
          <w:rFonts w:cs="Calibri"/>
        </w:rPr>
        <w:t>Segrate Servizi Srl</w:t>
      </w:r>
      <w:r w:rsidR="008F7E78" w:rsidRPr="00B67FEC">
        <w:rPr>
          <w:rFonts w:cs="Calibri"/>
        </w:rPr>
        <w:t xml:space="preserve"> </w:t>
      </w:r>
      <w:proofErr w:type="spellStart"/>
      <w:r>
        <w:rPr>
          <w:rFonts w:cs="Calibri"/>
        </w:rPr>
        <w:t>Srl</w:t>
      </w:r>
      <w:proofErr w:type="spellEnd"/>
      <w:r>
        <w:rPr>
          <w:rFonts w:cs="Calibri"/>
        </w:rPr>
        <w:t xml:space="preserve"> </w:t>
      </w:r>
      <w:r w:rsidR="008F7E78" w:rsidRPr="00B67FEC">
        <w:rPr>
          <w:rFonts w:cs="Calibri"/>
        </w:rPr>
        <w:t xml:space="preserve">si impegna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742"/>
      </w:tblGrid>
      <w:tr w:rsidR="00372C49" w:rsidRPr="00772279" w:rsidTr="00772279">
        <w:tc>
          <w:tcPr>
            <w:tcW w:w="7338" w:type="dxa"/>
            <w:shd w:val="clear" w:color="auto" w:fill="auto"/>
          </w:tcPr>
          <w:p w:rsidR="00372C49" w:rsidRPr="00772279" w:rsidRDefault="00372C49" w:rsidP="00772279">
            <w:pPr>
              <w:rPr>
                <w:rFonts w:cs="Calibri"/>
              </w:rPr>
            </w:pPr>
            <w:r w:rsidRPr="00772279">
              <w:rPr>
                <w:rFonts w:cs="Calibri"/>
              </w:rPr>
              <w:t xml:space="preserve">Obiettivo </w:t>
            </w:r>
          </w:p>
        </w:tc>
        <w:tc>
          <w:tcPr>
            <w:tcW w:w="2742" w:type="dxa"/>
            <w:shd w:val="clear" w:color="auto" w:fill="auto"/>
          </w:tcPr>
          <w:p w:rsidR="00372C49" w:rsidRPr="00772279" w:rsidRDefault="00372C49" w:rsidP="00772279">
            <w:pPr>
              <w:rPr>
                <w:rFonts w:cs="Calibri"/>
              </w:rPr>
            </w:pPr>
            <w:r w:rsidRPr="00772279">
              <w:rPr>
                <w:rFonts w:cs="Calibri"/>
              </w:rPr>
              <w:t>Indicatore</w:t>
            </w:r>
          </w:p>
        </w:tc>
      </w:tr>
      <w:tr w:rsidR="00372C49" w:rsidRPr="00772279" w:rsidTr="00772279">
        <w:tc>
          <w:tcPr>
            <w:tcW w:w="7338" w:type="dxa"/>
            <w:shd w:val="clear" w:color="auto" w:fill="auto"/>
          </w:tcPr>
          <w:p w:rsidR="00372C49" w:rsidRPr="00772279" w:rsidRDefault="00372C49" w:rsidP="00372C49">
            <w:pPr>
              <w:rPr>
                <w:rFonts w:cs="Calibri"/>
              </w:rPr>
            </w:pPr>
            <w:r w:rsidRPr="00772279">
              <w:rPr>
                <w:rFonts w:cs="Calibri"/>
              </w:rPr>
              <w:t xml:space="preserve">Promuovere l’art.3 della Costituzione, prevenendo i fenomeni corruttivi e garantendo agli Utenti dei servizi erogati uguali diritti; </w:t>
            </w:r>
          </w:p>
        </w:tc>
        <w:tc>
          <w:tcPr>
            <w:tcW w:w="2742" w:type="dxa"/>
            <w:shd w:val="clear" w:color="auto" w:fill="auto"/>
          </w:tcPr>
          <w:p w:rsidR="00372C49" w:rsidRDefault="00372C49" w:rsidP="00372C49">
            <w:r>
              <w:t>Eventi corruttivi: 0</w:t>
            </w:r>
          </w:p>
          <w:p w:rsidR="00372C49" w:rsidRPr="00772279" w:rsidRDefault="00372C49" w:rsidP="00372C49">
            <w:pPr>
              <w:rPr>
                <w:rFonts w:cs="Calibri"/>
              </w:rPr>
            </w:pPr>
            <w:r>
              <w:t>Contestazioni utenti: 0</w:t>
            </w:r>
          </w:p>
        </w:tc>
      </w:tr>
      <w:tr w:rsidR="00372C49" w:rsidRPr="00772279" w:rsidTr="00772279">
        <w:tc>
          <w:tcPr>
            <w:tcW w:w="7338" w:type="dxa"/>
            <w:shd w:val="clear" w:color="auto" w:fill="auto"/>
          </w:tcPr>
          <w:p w:rsidR="00372C49" w:rsidRPr="00772279" w:rsidRDefault="00372C49" w:rsidP="00372C49">
            <w:pPr>
              <w:rPr>
                <w:rFonts w:cs="Calibri"/>
              </w:rPr>
            </w:pPr>
            <w:r w:rsidRPr="00772279">
              <w:rPr>
                <w:rFonts w:cs="Calibri"/>
              </w:rPr>
              <w:t xml:space="preserve">Definire, attuare, migliorare nel tempo modalità di lavoro e controlli finalizzati alla prevenzione della corruzione anche attraverso la standardizzazione, ove possibile, delle procedure e l’informatizzazione della gestione dei processi; </w:t>
            </w:r>
          </w:p>
        </w:tc>
        <w:tc>
          <w:tcPr>
            <w:tcW w:w="2742" w:type="dxa"/>
            <w:shd w:val="clear" w:color="auto" w:fill="auto"/>
          </w:tcPr>
          <w:p w:rsidR="00372C49" w:rsidRPr="00772279" w:rsidRDefault="00372C49" w:rsidP="00372C49">
            <w:pPr>
              <w:rPr>
                <w:rFonts w:cs="Calibri"/>
              </w:rPr>
            </w:pPr>
            <w:r>
              <w:t>Informatizzazioni 202</w:t>
            </w:r>
            <w:r w:rsidR="00B61F65">
              <w:t>2</w:t>
            </w:r>
            <w:r>
              <w:t>:</w:t>
            </w:r>
            <w:r w:rsidR="00F94B0C">
              <w:t xml:space="preserve"> gestione ciclo passivo </w:t>
            </w:r>
          </w:p>
        </w:tc>
      </w:tr>
      <w:tr w:rsidR="00372C49" w:rsidRPr="00772279" w:rsidTr="00772279">
        <w:tc>
          <w:tcPr>
            <w:tcW w:w="7338" w:type="dxa"/>
            <w:shd w:val="clear" w:color="auto" w:fill="auto"/>
          </w:tcPr>
          <w:p w:rsidR="00372C49" w:rsidRPr="00772279" w:rsidRDefault="00372C49" w:rsidP="00372C49">
            <w:pPr>
              <w:rPr>
                <w:rFonts w:cs="Calibri"/>
              </w:rPr>
            </w:pPr>
            <w:r w:rsidRPr="00772279">
              <w:rPr>
                <w:rFonts w:cs="Calibri"/>
              </w:rPr>
              <w:lastRenderedPageBreak/>
              <w:t xml:space="preserve">Favorire la partecipazione ad iniziative di formazione specifica del personale; </w:t>
            </w:r>
          </w:p>
        </w:tc>
        <w:tc>
          <w:tcPr>
            <w:tcW w:w="2742" w:type="dxa"/>
            <w:shd w:val="clear" w:color="auto" w:fill="auto"/>
          </w:tcPr>
          <w:p w:rsidR="00372C49" w:rsidRDefault="00372C49" w:rsidP="00372C49">
            <w:r>
              <w:t>Ore formazione annue: 8</w:t>
            </w:r>
          </w:p>
          <w:p w:rsidR="00372C49" w:rsidRPr="00772279" w:rsidRDefault="00372C49" w:rsidP="00372C49">
            <w:pPr>
              <w:rPr>
                <w:rFonts w:cs="Calibri"/>
              </w:rPr>
            </w:pPr>
            <w:r>
              <w:t>Formazione a cascata: 100%</w:t>
            </w:r>
          </w:p>
        </w:tc>
      </w:tr>
      <w:tr w:rsidR="00B64604" w:rsidRPr="00DA60F3" w:rsidTr="00772279">
        <w:tc>
          <w:tcPr>
            <w:tcW w:w="7338" w:type="dxa"/>
            <w:shd w:val="clear" w:color="auto" w:fill="auto"/>
          </w:tcPr>
          <w:p w:rsidR="00372C49" w:rsidRPr="00DA60F3" w:rsidRDefault="00372C49" w:rsidP="00372C49">
            <w:pPr>
              <w:rPr>
                <w:rFonts w:cs="Calibri"/>
              </w:rPr>
            </w:pPr>
            <w:r w:rsidRPr="00DA60F3">
              <w:rPr>
                <w:rFonts w:cs="Calibri"/>
              </w:rPr>
              <w:t>Favorire le segnalazioni di situazioni a rischio di corruzione.</w:t>
            </w:r>
          </w:p>
        </w:tc>
        <w:tc>
          <w:tcPr>
            <w:tcW w:w="2742" w:type="dxa"/>
            <w:shd w:val="clear" w:color="auto" w:fill="auto"/>
          </w:tcPr>
          <w:p w:rsidR="00372C49" w:rsidRPr="00DA60F3" w:rsidRDefault="00372C49" w:rsidP="00372C49">
            <w:pPr>
              <w:rPr>
                <w:rFonts w:cs="Calibri"/>
              </w:rPr>
            </w:pPr>
            <w:r w:rsidRPr="00DA60F3">
              <w:t>Piattaforma WB: attiva</w:t>
            </w:r>
          </w:p>
        </w:tc>
      </w:tr>
    </w:tbl>
    <w:p w:rsidR="008F7E78" w:rsidRPr="008E2618" w:rsidRDefault="008F7E78" w:rsidP="008E2618">
      <w:pPr>
        <w:pStyle w:val="Titolo3"/>
      </w:pPr>
      <w:bookmarkStart w:id="81" w:name="_Toc101602017"/>
      <w:r w:rsidRPr="008E2618">
        <w:t>Obiettivi Strategici in materia di trasparenza</w:t>
      </w:r>
      <w:bookmarkEnd w:id="81"/>
      <w:r w:rsidRPr="008E26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742"/>
      </w:tblGrid>
      <w:tr w:rsidR="00372C49" w:rsidRPr="00772279" w:rsidTr="00772279">
        <w:tc>
          <w:tcPr>
            <w:tcW w:w="7338" w:type="dxa"/>
            <w:shd w:val="clear" w:color="auto" w:fill="auto"/>
          </w:tcPr>
          <w:p w:rsidR="00372C49" w:rsidRPr="00772279" w:rsidRDefault="00372C49" w:rsidP="00772279">
            <w:pPr>
              <w:rPr>
                <w:rFonts w:cs="Calibri"/>
              </w:rPr>
            </w:pPr>
            <w:r w:rsidRPr="00772279">
              <w:rPr>
                <w:rFonts w:cs="Calibri"/>
              </w:rPr>
              <w:t>Obiettivo</w:t>
            </w:r>
          </w:p>
        </w:tc>
        <w:tc>
          <w:tcPr>
            <w:tcW w:w="2742" w:type="dxa"/>
            <w:shd w:val="clear" w:color="auto" w:fill="auto"/>
          </w:tcPr>
          <w:p w:rsidR="00372C49" w:rsidRPr="00772279" w:rsidRDefault="00372C49" w:rsidP="00772279">
            <w:pPr>
              <w:rPr>
                <w:rFonts w:cs="Calibri"/>
              </w:rPr>
            </w:pPr>
            <w:r w:rsidRPr="00772279">
              <w:rPr>
                <w:rFonts w:cs="Calibri"/>
              </w:rPr>
              <w:t>Indicatore</w:t>
            </w:r>
          </w:p>
        </w:tc>
      </w:tr>
      <w:tr w:rsidR="00372C49" w:rsidRPr="00772279" w:rsidTr="00772279">
        <w:tc>
          <w:tcPr>
            <w:tcW w:w="7338" w:type="dxa"/>
            <w:shd w:val="clear" w:color="auto" w:fill="auto"/>
          </w:tcPr>
          <w:p w:rsidR="00372C49" w:rsidRPr="00772279" w:rsidRDefault="00372C49" w:rsidP="00772279">
            <w:pPr>
              <w:rPr>
                <w:rFonts w:cs="Calibri"/>
              </w:rPr>
            </w:pPr>
            <w:r w:rsidRPr="00772279">
              <w:rPr>
                <w:rFonts w:cs="Calibri"/>
              </w:rPr>
              <w:t xml:space="preserve">Rendere trasparente la gestione delle attività; </w:t>
            </w:r>
          </w:p>
        </w:tc>
        <w:tc>
          <w:tcPr>
            <w:tcW w:w="2742" w:type="dxa"/>
            <w:shd w:val="clear" w:color="auto" w:fill="auto"/>
          </w:tcPr>
          <w:p w:rsidR="00372C49" w:rsidRPr="00772279" w:rsidRDefault="00372C49" w:rsidP="00772279">
            <w:pPr>
              <w:rPr>
                <w:rFonts w:cs="Calibri"/>
              </w:rPr>
            </w:pPr>
            <w:r>
              <w:t xml:space="preserve">Attestazione positiva </w:t>
            </w:r>
            <w:proofErr w:type="spellStart"/>
            <w:r>
              <w:t>OdV</w:t>
            </w:r>
            <w:proofErr w:type="spellEnd"/>
          </w:p>
        </w:tc>
      </w:tr>
      <w:tr w:rsidR="00372C49" w:rsidRPr="00772279" w:rsidTr="00772279">
        <w:tc>
          <w:tcPr>
            <w:tcW w:w="7338" w:type="dxa"/>
            <w:shd w:val="clear" w:color="auto" w:fill="auto"/>
          </w:tcPr>
          <w:p w:rsidR="00372C49" w:rsidRPr="00772279" w:rsidRDefault="00372C49" w:rsidP="00772279">
            <w:pPr>
              <w:rPr>
                <w:rFonts w:cs="Calibri"/>
              </w:rPr>
            </w:pPr>
            <w:r w:rsidRPr="00772279">
              <w:rPr>
                <w:rFonts w:cs="Calibri"/>
              </w:rPr>
              <w:t xml:space="preserve">Aumentare la propria capacità di informare gli utenti circa le modalità di accesso ai servizi; </w:t>
            </w:r>
          </w:p>
        </w:tc>
        <w:tc>
          <w:tcPr>
            <w:tcW w:w="2742" w:type="dxa"/>
            <w:shd w:val="clear" w:color="auto" w:fill="auto"/>
          </w:tcPr>
          <w:p w:rsidR="00372C49" w:rsidRPr="00772279" w:rsidRDefault="00372C49" w:rsidP="00772279">
            <w:pPr>
              <w:rPr>
                <w:rFonts w:cs="Calibri"/>
              </w:rPr>
            </w:pPr>
            <w:r w:rsidRPr="00772279">
              <w:rPr>
                <w:rFonts w:cs="Calibri"/>
              </w:rPr>
              <w:t>Sito web: aggiornato</w:t>
            </w:r>
          </w:p>
        </w:tc>
      </w:tr>
      <w:tr w:rsidR="00372C49" w:rsidRPr="00772279" w:rsidTr="00772279">
        <w:tc>
          <w:tcPr>
            <w:tcW w:w="7338" w:type="dxa"/>
            <w:shd w:val="clear" w:color="auto" w:fill="auto"/>
          </w:tcPr>
          <w:p w:rsidR="00372C49" w:rsidRPr="00772279" w:rsidRDefault="00372C49" w:rsidP="00772279">
            <w:pPr>
              <w:rPr>
                <w:rFonts w:cs="Calibri"/>
              </w:rPr>
            </w:pPr>
            <w:r w:rsidRPr="00772279">
              <w:rPr>
                <w:rFonts w:cs="Calibri"/>
              </w:rPr>
              <w:t>Promuovere l’accesso civico;</w:t>
            </w:r>
          </w:p>
        </w:tc>
        <w:tc>
          <w:tcPr>
            <w:tcW w:w="2742" w:type="dxa"/>
            <w:shd w:val="clear" w:color="auto" w:fill="auto"/>
          </w:tcPr>
          <w:p w:rsidR="00372C49" w:rsidRPr="00772279" w:rsidRDefault="00372C49" w:rsidP="00772279">
            <w:pPr>
              <w:rPr>
                <w:rFonts w:cs="Calibri"/>
              </w:rPr>
            </w:pPr>
            <w:r>
              <w:t>Registro AC: attivo</w:t>
            </w:r>
          </w:p>
        </w:tc>
      </w:tr>
      <w:tr w:rsidR="00372C49" w:rsidRPr="00772279" w:rsidTr="00772279">
        <w:tc>
          <w:tcPr>
            <w:tcW w:w="7338" w:type="dxa"/>
            <w:shd w:val="clear" w:color="auto" w:fill="auto"/>
          </w:tcPr>
          <w:p w:rsidR="00372C49" w:rsidRPr="00772279" w:rsidRDefault="00372C49" w:rsidP="00772279">
            <w:pPr>
              <w:rPr>
                <w:rFonts w:cs="Calibri"/>
              </w:rPr>
            </w:pPr>
            <w:r w:rsidRPr="00772279">
              <w:rPr>
                <w:rFonts w:cs="Calibri"/>
              </w:rPr>
              <w:t>Aggiornare la Carta dei servizi, rendendola disponibile al pubblico;</w:t>
            </w:r>
          </w:p>
        </w:tc>
        <w:tc>
          <w:tcPr>
            <w:tcW w:w="2742" w:type="dxa"/>
            <w:shd w:val="clear" w:color="auto" w:fill="auto"/>
          </w:tcPr>
          <w:p w:rsidR="00372C49" w:rsidRPr="00772279" w:rsidRDefault="00980478" w:rsidP="00772279">
            <w:pPr>
              <w:rPr>
                <w:rFonts w:cs="Calibri"/>
              </w:rPr>
            </w:pPr>
            <w:r w:rsidRPr="00772279">
              <w:rPr>
                <w:rFonts w:cs="Calibri"/>
              </w:rPr>
              <w:t>100%</w:t>
            </w:r>
          </w:p>
        </w:tc>
      </w:tr>
      <w:tr w:rsidR="00372C49" w:rsidRPr="00772279" w:rsidTr="00772279">
        <w:tc>
          <w:tcPr>
            <w:tcW w:w="7338" w:type="dxa"/>
            <w:shd w:val="clear" w:color="auto" w:fill="auto"/>
          </w:tcPr>
          <w:p w:rsidR="00372C49" w:rsidRPr="00772279" w:rsidRDefault="00372C49" w:rsidP="00772279">
            <w:pPr>
              <w:rPr>
                <w:rFonts w:cs="Calibri"/>
              </w:rPr>
            </w:pPr>
            <w:r w:rsidRPr="00772279">
              <w:rPr>
                <w:rFonts w:cs="Calibri"/>
              </w:rPr>
              <w:t xml:space="preserve">Attivare un percorso di rilevazione della </w:t>
            </w:r>
            <w:proofErr w:type="spellStart"/>
            <w:r w:rsidRPr="00772279">
              <w:rPr>
                <w:rFonts w:cs="Calibri"/>
              </w:rPr>
              <w:t>Customer</w:t>
            </w:r>
            <w:proofErr w:type="spellEnd"/>
            <w:r w:rsidRPr="00772279">
              <w:rPr>
                <w:rFonts w:cs="Calibri"/>
              </w:rPr>
              <w:t xml:space="preserve"> </w:t>
            </w:r>
            <w:proofErr w:type="spellStart"/>
            <w:r w:rsidRPr="00772279">
              <w:rPr>
                <w:rFonts w:cs="Calibri"/>
              </w:rPr>
              <w:t>Satisfaction</w:t>
            </w:r>
            <w:proofErr w:type="spellEnd"/>
          </w:p>
        </w:tc>
        <w:tc>
          <w:tcPr>
            <w:tcW w:w="2742" w:type="dxa"/>
            <w:shd w:val="clear" w:color="auto" w:fill="auto"/>
          </w:tcPr>
          <w:p w:rsidR="00372C49" w:rsidRPr="00772279" w:rsidRDefault="00980478" w:rsidP="00772279">
            <w:pPr>
              <w:rPr>
                <w:rFonts w:cs="Calibri"/>
              </w:rPr>
            </w:pPr>
            <w:r w:rsidRPr="00772279">
              <w:rPr>
                <w:rFonts w:cs="Calibri"/>
              </w:rPr>
              <w:t>Soddisfazione &gt; 80%</w:t>
            </w:r>
          </w:p>
        </w:tc>
      </w:tr>
    </w:tbl>
    <w:p w:rsidR="00DB71AF" w:rsidRPr="00B67FEC" w:rsidRDefault="00DB71AF" w:rsidP="0049154B">
      <w:pPr>
        <w:rPr>
          <w:rFonts w:cs="Calibri"/>
          <w:szCs w:val="20"/>
        </w:rPr>
      </w:pPr>
    </w:p>
    <w:p w:rsidR="00D74DEB" w:rsidRPr="00B67FEC" w:rsidRDefault="00D74DEB" w:rsidP="0049154B">
      <w:pPr>
        <w:rPr>
          <w:rFonts w:cs="Calibri"/>
          <w:b/>
          <w:szCs w:val="20"/>
        </w:rPr>
      </w:pPr>
      <w:r w:rsidRPr="00B67FEC">
        <w:rPr>
          <w:rFonts w:cs="Calibri"/>
          <w:b/>
          <w:szCs w:val="20"/>
        </w:rPr>
        <w:t xml:space="preserve">Gli obiettivi Anticorruzione </w:t>
      </w:r>
      <w:r w:rsidR="00DD3386" w:rsidRPr="00B67FEC">
        <w:rPr>
          <w:rFonts w:cs="Calibri"/>
          <w:b/>
          <w:szCs w:val="20"/>
        </w:rPr>
        <w:t xml:space="preserve">e Trasparenza </w:t>
      </w:r>
      <w:r w:rsidRPr="00B67FEC">
        <w:rPr>
          <w:rFonts w:cs="Calibri"/>
          <w:b/>
          <w:szCs w:val="20"/>
        </w:rPr>
        <w:t xml:space="preserve">sono monitorati e rendicontati </w:t>
      </w:r>
      <w:r w:rsidR="00DB71AF" w:rsidRPr="00B67FEC">
        <w:rPr>
          <w:rFonts w:cs="Calibri"/>
          <w:b/>
          <w:szCs w:val="20"/>
        </w:rPr>
        <w:t>in sede di redazione della relazione annuale dal RPC</w:t>
      </w:r>
      <w:r w:rsidRPr="00B67FEC">
        <w:rPr>
          <w:rFonts w:cs="Calibri"/>
          <w:b/>
          <w:szCs w:val="20"/>
        </w:rPr>
        <w:t xml:space="preserve">. </w:t>
      </w:r>
    </w:p>
    <w:p w:rsidR="00D57C01" w:rsidRPr="00B67FEC" w:rsidRDefault="00BF3278" w:rsidP="00B264D6">
      <w:pPr>
        <w:pStyle w:val="Titolo1"/>
        <w:rPr>
          <w:rFonts w:cs="Calibri"/>
        </w:rPr>
      </w:pPr>
      <w:bookmarkStart w:id="82" w:name="_Toc28881627"/>
      <w:bookmarkStart w:id="83" w:name="_Toc28966883"/>
      <w:bookmarkStart w:id="84" w:name="_Toc28967103"/>
      <w:bookmarkStart w:id="85" w:name="_Toc28967356"/>
      <w:bookmarkStart w:id="86" w:name="_Toc101602018"/>
      <w:bookmarkEnd w:id="79"/>
      <w:r w:rsidRPr="00B67FEC">
        <w:rPr>
          <w:rFonts w:cs="Calibri"/>
        </w:rPr>
        <w:t>F. ANALISI DEL CONTESTO ESTERNO</w:t>
      </w:r>
      <w:bookmarkEnd w:id="82"/>
      <w:bookmarkEnd w:id="83"/>
      <w:bookmarkEnd w:id="84"/>
      <w:bookmarkEnd w:id="85"/>
      <w:bookmarkEnd w:id="86"/>
    </w:p>
    <w:p w:rsidR="00D57C01" w:rsidRPr="00B67FEC" w:rsidRDefault="00BF3278" w:rsidP="0049154B">
      <w:pPr>
        <w:rPr>
          <w:rFonts w:cs="Calibri"/>
          <w:szCs w:val="20"/>
        </w:rPr>
      </w:pPr>
      <w:r w:rsidRPr="00B67FEC">
        <w:rPr>
          <w:rFonts w:cs="Calibri"/>
          <w:szCs w:val="20"/>
        </w:rPr>
        <w:t>L</w:t>
      </w:r>
      <w:r w:rsidR="00D57C01" w:rsidRPr="00B67FEC">
        <w:rPr>
          <w:rFonts w:cs="Calibri"/>
          <w:szCs w:val="20"/>
        </w:rPr>
        <w:t>’analisi del contesto esterno rappresenta la prima e indispensabile fase del processo di gestione del rischio, attraverso la quale ottenere informazioni necessarie a comprendere come il rischio di corruzione possa manifestarsi all’interno dell’amministrazione</w:t>
      </w:r>
      <w:r w:rsidR="00D57C01" w:rsidRPr="00B67FEC">
        <w:rPr>
          <w:rFonts w:cs="Calibri"/>
          <w:color w:val="FF0000"/>
          <w:szCs w:val="20"/>
        </w:rPr>
        <w:t xml:space="preserve"> </w:t>
      </w:r>
      <w:r w:rsidR="00D57C01" w:rsidRPr="00B67FEC">
        <w:rPr>
          <w:rFonts w:cs="Calibri"/>
          <w:szCs w:val="20"/>
        </w:rPr>
        <w:t>per via della specificità dell’ambiente in cui la stessa opera in termini di strutture territoriali e dinamiche sociali, economiche e culturali.</w:t>
      </w:r>
    </w:p>
    <w:p w:rsidR="002F067E" w:rsidRDefault="00EC0950" w:rsidP="002F067E">
      <w:pPr>
        <w:rPr>
          <w:rFonts w:cs="Tahoma"/>
          <w:szCs w:val="20"/>
        </w:rPr>
      </w:pPr>
      <w:r>
        <w:rPr>
          <w:rFonts w:cs="Tahoma"/>
          <w:szCs w:val="20"/>
        </w:rPr>
        <w:t>Segrate Servizi Srl</w:t>
      </w:r>
      <w:r w:rsidR="002F067E" w:rsidRPr="009473EA">
        <w:rPr>
          <w:rFonts w:cs="Tahoma"/>
          <w:szCs w:val="20"/>
        </w:rPr>
        <w:t xml:space="preserve"> </w:t>
      </w:r>
      <w:proofErr w:type="spellStart"/>
      <w:r w:rsidR="002F067E">
        <w:rPr>
          <w:rFonts w:cs="Tahoma"/>
          <w:szCs w:val="20"/>
        </w:rPr>
        <w:t>Srl</w:t>
      </w:r>
      <w:proofErr w:type="spellEnd"/>
      <w:r w:rsidR="002F067E">
        <w:rPr>
          <w:rFonts w:cs="Tahoma"/>
          <w:szCs w:val="20"/>
        </w:rPr>
        <w:t xml:space="preserve"> </w:t>
      </w:r>
      <w:r w:rsidR="002F067E" w:rsidRPr="009473EA">
        <w:rPr>
          <w:rFonts w:cs="Tahoma"/>
          <w:szCs w:val="20"/>
        </w:rPr>
        <w:t xml:space="preserve">è </w:t>
      </w:r>
      <w:r w:rsidR="002F067E">
        <w:rPr>
          <w:rFonts w:cs="Tahoma"/>
          <w:szCs w:val="20"/>
        </w:rPr>
        <w:t>una società a responsabilità limitata, di proprietà al 100% del Comune di Segrate (</w:t>
      </w:r>
      <w:proofErr w:type="spellStart"/>
      <w:r w:rsidR="002F067E">
        <w:rPr>
          <w:rFonts w:cs="Tahoma"/>
          <w:szCs w:val="20"/>
        </w:rPr>
        <w:t>MI</w:t>
      </w:r>
      <w:proofErr w:type="spellEnd"/>
      <w:r w:rsidR="002F067E">
        <w:rPr>
          <w:rFonts w:cs="Tahoma"/>
          <w:szCs w:val="20"/>
        </w:rPr>
        <w:t>).</w:t>
      </w:r>
    </w:p>
    <w:p w:rsidR="002F067E" w:rsidRPr="00DB71AF" w:rsidRDefault="002F067E" w:rsidP="002F067E">
      <w:pPr>
        <w:rPr>
          <w:b/>
          <w:lang w:bidi="it-IT"/>
        </w:rPr>
      </w:pPr>
      <w:r w:rsidRPr="00DB71AF">
        <w:rPr>
          <w:b/>
          <w:lang w:bidi="it-IT"/>
        </w:rPr>
        <w:t>Analisi demografica</w:t>
      </w:r>
    </w:p>
    <w:p w:rsidR="002F067E" w:rsidRPr="00C574C1" w:rsidRDefault="002F067E" w:rsidP="002F067E">
      <w:pPr>
        <w:rPr>
          <w:lang w:bidi="it-IT"/>
        </w:rPr>
      </w:pPr>
      <w:r w:rsidRPr="00C574C1">
        <w:rPr>
          <w:lang w:bidi="it-IT"/>
        </w:rPr>
        <w:t xml:space="preserve">Tra le informazioni di cui tenere conto nell’analisi del contesto esterno, l’analisi demografica costituisce certamente uno degli approfondimenti di maggior interesse: l’attività amministrativa è diretta a soddisfare le esigenze e gli interessi della propria popolazione che rappresenta il principale </w:t>
      </w:r>
      <w:proofErr w:type="spellStart"/>
      <w:r w:rsidRPr="00C574C1">
        <w:rPr>
          <w:lang w:bidi="it-IT"/>
        </w:rPr>
        <w:t>stakeolder</w:t>
      </w:r>
      <w:proofErr w:type="spellEnd"/>
      <w:r w:rsidRPr="00C574C1">
        <w:rPr>
          <w:lang w:bidi="it-IT"/>
        </w:rPr>
        <w:t xml:space="preserve"> di ogni iniziativa</w:t>
      </w:r>
    </w:p>
    <w:p w:rsidR="002F067E" w:rsidRPr="00C574C1" w:rsidRDefault="002F067E" w:rsidP="002F067E">
      <w:pPr>
        <w:rPr>
          <w:lang w:bidi="it-IT"/>
        </w:rPr>
      </w:pPr>
      <w:r w:rsidRPr="00C574C1">
        <w:rPr>
          <w:lang w:bidi="it-IT"/>
        </w:rPr>
        <w:t>Attraverso questo tipo di analisi si favorisce la predisposizione di un PTPC contestualizzato e, quindi, potenzialmente più efficace.</w:t>
      </w:r>
    </w:p>
    <w:p w:rsidR="002F067E" w:rsidRPr="00C574C1" w:rsidRDefault="002F067E" w:rsidP="002F067E">
      <w:pPr>
        <w:autoSpaceDE w:val="0"/>
        <w:autoSpaceDN w:val="0"/>
        <w:adjustRightInd w:val="0"/>
        <w:ind w:left="1080"/>
        <w:rPr>
          <w:rFonts w:cs="Tahoma"/>
          <w:i/>
          <w:szCs w:val="20"/>
          <w:lang w:bidi="it-IT"/>
        </w:rPr>
      </w:pPr>
      <w:r w:rsidRPr="00C574C1">
        <w:rPr>
          <w:rFonts w:cs="Tahoma"/>
          <w:i/>
          <w:szCs w:val="20"/>
          <w:lang w:bidi="it-IT"/>
        </w:rPr>
        <w:t>Dati Anagrafici</w:t>
      </w:r>
      <w:r>
        <w:rPr>
          <w:rFonts w:cs="Tahoma"/>
          <w:i/>
          <w:szCs w:val="20"/>
          <w:lang w:bidi="it-IT"/>
        </w:rPr>
        <w:t xml:space="preserve"> Segrate</w:t>
      </w:r>
    </w:p>
    <w:tbl>
      <w:tblPr>
        <w:tblW w:w="0" w:type="auto"/>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9"/>
        <w:gridCol w:w="4037"/>
      </w:tblGrid>
      <w:tr w:rsidR="002F067E" w:rsidRPr="00B67FEC" w:rsidTr="007A706B">
        <w:trPr>
          <w:trHeight w:val="395"/>
        </w:trPr>
        <w:tc>
          <w:tcPr>
            <w:tcW w:w="4039" w:type="dxa"/>
          </w:tcPr>
          <w:p w:rsidR="002F067E" w:rsidRPr="00B67FEC" w:rsidRDefault="002F067E" w:rsidP="007A706B">
            <w:pPr>
              <w:autoSpaceDE w:val="0"/>
              <w:autoSpaceDN w:val="0"/>
              <w:adjustRightInd w:val="0"/>
              <w:ind w:left="1080"/>
              <w:rPr>
                <w:rFonts w:cs="Tahoma"/>
                <w:b/>
                <w:szCs w:val="20"/>
                <w:lang w:bidi="it-IT"/>
              </w:rPr>
            </w:pPr>
          </w:p>
        </w:tc>
        <w:tc>
          <w:tcPr>
            <w:tcW w:w="4037" w:type="dxa"/>
          </w:tcPr>
          <w:p w:rsidR="002F067E" w:rsidRPr="00B67FEC" w:rsidRDefault="002F067E" w:rsidP="007A706B">
            <w:pPr>
              <w:autoSpaceDE w:val="0"/>
              <w:autoSpaceDN w:val="0"/>
              <w:adjustRightInd w:val="0"/>
              <w:ind w:left="1080"/>
              <w:rPr>
                <w:rFonts w:cs="Tahoma"/>
                <w:b/>
                <w:szCs w:val="20"/>
                <w:lang w:bidi="it-IT"/>
              </w:rPr>
            </w:pPr>
            <w:r w:rsidRPr="00B67FEC">
              <w:rPr>
                <w:rFonts w:cs="Tahoma"/>
                <w:b/>
                <w:szCs w:val="20"/>
                <w:lang w:bidi="it-IT"/>
              </w:rPr>
              <w:t>Valore</w:t>
            </w:r>
          </w:p>
        </w:tc>
      </w:tr>
      <w:tr w:rsidR="002F067E" w:rsidRPr="00B67FEC" w:rsidTr="007A706B">
        <w:trPr>
          <w:trHeight w:val="397"/>
        </w:trPr>
        <w:tc>
          <w:tcPr>
            <w:tcW w:w="4039" w:type="dxa"/>
            <w:shd w:val="clear" w:color="auto" w:fill="DFDFBF"/>
          </w:tcPr>
          <w:p w:rsidR="002F067E" w:rsidRPr="00B67FEC" w:rsidRDefault="002F067E" w:rsidP="002F067E">
            <w:pPr>
              <w:autoSpaceDE w:val="0"/>
              <w:autoSpaceDN w:val="0"/>
              <w:adjustRightInd w:val="0"/>
              <w:ind w:left="1080"/>
              <w:rPr>
                <w:rFonts w:cs="Tahoma"/>
                <w:szCs w:val="20"/>
                <w:lang w:bidi="it-IT"/>
              </w:rPr>
            </w:pPr>
            <w:r w:rsidRPr="00B67FEC">
              <w:rPr>
                <w:rFonts w:cs="Tahoma"/>
                <w:szCs w:val="20"/>
                <w:lang w:bidi="it-IT"/>
              </w:rPr>
              <w:t>Popolazione al 31.12.20</w:t>
            </w:r>
            <w:r w:rsidR="00980478">
              <w:rPr>
                <w:rFonts w:cs="Tahoma"/>
                <w:szCs w:val="20"/>
                <w:lang w:bidi="it-IT"/>
              </w:rPr>
              <w:t>20</w:t>
            </w:r>
          </w:p>
        </w:tc>
        <w:tc>
          <w:tcPr>
            <w:tcW w:w="4037" w:type="dxa"/>
            <w:shd w:val="clear" w:color="auto" w:fill="DFDFBF"/>
          </w:tcPr>
          <w:p w:rsidR="002F067E" w:rsidRPr="00B67FEC" w:rsidRDefault="002F067E" w:rsidP="007A706B">
            <w:pPr>
              <w:autoSpaceDE w:val="0"/>
              <w:autoSpaceDN w:val="0"/>
              <w:adjustRightInd w:val="0"/>
              <w:ind w:left="1080"/>
              <w:rPr>
                <w:rFonts w:cs="Tahoma"/>
                <w:szCs w:val="20"/>
                <w:lang w:bidi="it-IT"/>
              </w:rPr>
            </w:pPr>
            <w:r w:rsidRPr="00B67FEC">
              <w:rPr>
                <w:rFonts w:cs="Tahoma"/>
                <w:szCs w:val="20"/>
                <w:lang w:bidi="it-IT"/>
              </w:rPr>
              <w:t>35.</w:t>
            </w:r>
            <w:r w:rsidR="00980478">
              <w:rPr>
                <w:rFonts w:cs="Tahoma"/>
                <w:szCs w:val="20"/>
                <w:lang w:bidi="it-IT"/>
              </w:rPr>
              <w:t>597</w:t>
            </w:r>
          </w:p>
        </w:tc>
      </w:tr>
      <w:tr w:rsidR="002F067E" w:rsidRPr="00B67FEC" w:rsidTr="007A706B">
        <w:trPr>
          <w:trHeight w:val="395"/>
        </w:trPr>
        <w:tc>
          <w:tcPr>
            <w:tcW w:w="4039" w:type="dxa"/>
          </w:tcPr>
          <w:p w:rsidR="002F067E" w:rsidRPr="00B67FEC" w:rsidRDefault="002F067E" w:rsidP="007A706B">
            <w:pPr>
              <w:autoSpaceDE w:val="0"/>
              <w:autoSpaceDN w:val="0"/>
              <w:adjustRightInd w:val="0"/>
              <w:ind w:left="1080"/>
              <w:rPr>
                <w:rFonts w:cs="Tahoma"/>
                <w:szCs w:val="20"/>
                <w:lang w:bidi="it-IT"/>
              </w:rPr>
            </w:pPr>
            <w:r w:rsidRPr="00B67FEC">
              <w:rPr>
                <w:rFonts w:cs="Tahoma"/>
                <w:szCs w:val="20"/>
                <w:lang w:bidi="it-IT"/>
              </w:rPr>
              <w:t>Nuclei familiari</w:t>
            </w:r>
          </w:p>
        </w:tc>
        <w:tc>
          <w:tcPr>
            <w:tcW w:w="4037" w:type="dxa"/>
          </w:tcPr>
          <w:p w:rsidR="002F067E" w:rsidRPr="00B67FEC" w:rsidRDefault="00980478" w:rsidP="007A706B">
            <w:pPr>
              <w:autoSpaceDE w:val="0"/>
              <w:autoSpaceDN w:val="0"/>
              <w:adjustRightInd w:val="0"/>
              <w:ind w:left="1080"/>
              <w:rPr>
                <w:rFonts w:cs="Tahoma"/>
                <w:szCs w:val="20"/>
                <w:lang w:bidi="it-IT"/>
              </w:rPr>
            </w:pPr>
            <w:r>
              <w:rPr>
                <w:rFonts w:cs="Tahoma"/>
                <w:szCs w:val="20"/>
                <w:lang w:bidi="it-IT"/>
              </w:rPr>
              <w:t>15.519 (ultimo dato disponibile)</w:t>
            </w:r>
          </w:p>
        </w:tc>
      </w:tr>
    </w:tbl>
    <w:p w:rsidR="002F067E" w:rsidRPr="00C574C1" w:rsidRDefault="002F067E" w:rsidP="002F067E">
      <w:pPr>
        <w:autoSpaceDE w:val="0"/>
        <w:autoSpaceDN w:val="0"/>
        <w:adjustRightInd w:val="0"/>
        <w:ind w:left="1080"/>
        <w:rPr>
          <w:rFonts w:cs="Tahoma"/>
          <w:i/>
          <w:szCs w:val="20"/>
          <w:lang w:bidi="it-IT"/>
        </w:rPr>
      </w:pPr>
    </w:p>
    <w:p w:rsidR="002F067E" w:rsidRPr="009611C8" w:rsidRDefault="002F067E" w:rsidP="002F067E">
      <w:pPr>
        <w:rPr>
          <w:b/>
          <w:lang w:bidi="it-IT"/>
        </w:rPr>
      </w:pPr>
      <w:r w:rsidRPr="009611C8">
        <w:rPr>
          <w:b/>
          <w:lang w:bidi="it-IT"/>
        </w:rPr>
        <w:t>Struttura della popolazione dal 2002 al 2019</w:t>
      </w:r>
    </w:p>
    <w:p w:rsidR="002F067E" w:rsidRDefault="002F067E" w:rsidP="002F067E">
      <w:pPr>
        <w:rPr>
          <w:lang w:bidi="it-IT"/>
        </w:rPr>
      </w:pPr>
      <w:r w:rsidRPr="009611C8">
        <w:rPr>
          <w:lang w:bidi="it-IT"/>
        </w:rPr>
        <w:t>L'analisi della struttura per età di una popolazione considera tre fasce di età:</w:t>
      </w:r>
      <w:r>
        <w:rPr>
          <w:lang w:bidi="it-IT"/>
        </w:rPr>
        <w:t xml:space="preserve"> </w:t>
      </w:r>
      <w:r w:rsidRPr="009611C8">
        <w:rPr>
          <w:lang w:bidi="it-IT"/>
        </w:rPr>
        <w:t>giovani</w:t>
      </w:r>
      <w:r>
        <w:rPr>
          <w:lang w:bidi="it-IT"/>
        </w:rPr>
        <w:t xml:space="preserve"> </w:t>
      </w:r>
      <w:r w:rsidRPr="009611C8">
        <w:rPr>
          <w:lang w:bidi="it-IT"/>
        </w:rPr>
        <w:t>0-14 anni,</w:t>
      </w:r>
      <w:r>
        <w:rPr>
          <w:lang w:bidi="it-IT"/>
        </w:rPr>
        <w:t xml:space="preserve"> </w:t>
      </w:r>
      <w:r w:rsidRPr="009611C8">
        <w:rPr>
          <w:lang w:bidi="it-IT"/>
        </w:rPr>
        <w:t>adulti</w:t>
      </w:r>
      <w:r>
        <w:rPr>
          <w:lang w:bidi="it-IT"/>
        </w:rPr>
        <w:t xml:space="preserve"> </w:t>
      </w:r>
      <w:r w:rsidRPr="009611C8">
        <w:rPr>
          <w:lang w:bidi="it-IT"/>
        </w:rPr>
        <w:t>15-64 anni e</w:t>
      </w:r>
      <w:r>
        <w:rPr>
          <w:lang w:bidi="it-IT"/>
        </w:rPr>
        <w:t xml:space="preserve"> </w:t>
      </w:r>
      <w:r w:rsidRPr="009611C8">
        <w:rPr>
          <w:lang w:bidi="it-IT"/>
        </w:rPr>
        <w:t>anziani</w:t>
      </w:r>
      <w:r>
        <w:rPr>
          <w:lang w:bidi="it-IT"/>
        </w:rPr>
        <w:t xml:space="preserve"> </w:t>
      </w:r>
      <w:r w:rsidRPr="009611C8">
        <w:rPr>
          <w:lang w:bidi="it-IT"/>
        </w:rPr>
        <w:t>65 anni ed oltre. In base alle diverse proporzioni fra tali fasce di età, la struttura di una popolazione viene definita di tipo progressiva, stazionaria o regressiva a seconda che la popolazione giovane sia maggiore, equivalente o minore di quella anziana.</w:t>
      </w:r>
    </w:p>
    <w:p w:rsidR="00FB71D3" w:rsidRPr="009611C8" w:rsidRDefault="00B61F65" w:rsidP="00B61F65">
      <w:pPr>
        <w:jc w:val="center"/>
        <w:rPr>
          <w:lang w:bidi="it-IT"/>
        </w:rPr>
      </w:pPr>
      <w:r>
        <w:rPr>
          <w:noProof/>
        </w:rPr>
        <w:lastRenderedPageBreak/>
        <w:drawing>
          <wp:inline distT="0" distB="0" distL="0" distR="0">
            <wp:extent cx="5524500" cy="2095500"/>
            <wp:effectExtent l="0" t="0" r="0" b="0"/>
            <wp:docPr id="8" name="Immagine 8" descr="Grafico struttura della popolazione Comune di Segrate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o struttura della popolazione Comune di Segrate (MI)"/>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0" cy="2095500"/>
                    </a:xfrm>
                    <a:prstGeom prst="rect">
                      <a:avLst/>
                    </a:prstGeom>
                    <a:noFill/>
                    <a:ln>
                      <a:noFill/>
                    </a:ln>
                  </pic:spPr>
                </pic:pic>
              </a:graphicData>
            </a:graphic>
          </wp:inline>
        </w:drawing>
      </w:r>
    </w:p>
    <w:p w:rsidR="002F067E" w:rsidRPr="00EC0950" w:rsidRDefault="002F067E" w:rsidP="00EC0950">
      <w:pPr>
        <w:rPr>
          <w:lang w:bidi="it-IT"/>
        </w:rPr>
      </w:pPr>
      <w:r w:rsidRPr="009611C8">
        <w:rPr>
          <w:lang w:bidi="it-IT"/>
        </w:rPr>
        <w:t>Lo studio di tali rapporti è importante per valutare alcuni impatti sul sistema sociale, ad esempio sul sistema lavorativo o su quello sanitario.</w:t>
      </w:r>
    </w:p>
    <w:tbl>
      <w:tblPr>
        <w:tblW w:w="5000" w:type="pct"/>
        <w:shd w:val="clear" w:color="auto" w:fill="FFFFFF"/>
        <w:tblCellMar>
          <w:left w:w="0" w:type="dxa"/>
          <w:right w:w="0" w:type="dxa"/>
        </w:tblCellMar>
        <w:tblLook w:val="04A0"/>
      </w:tblPr>
      <w:tblGrid>
        <w:gridCol w:w="1958"/>
        <w:gridCol w:w="1483"/>
        <w:gridCol w:w="1484"/>
        <w:gridCol w:w="1484"/>
        <w:gridCol w:w="2091"/>
        <w:gridCol w:w="1484"/>
      </w:tblGrid>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7A706B">
            <w:pPr>
              <w:spacing w:line="240" w:lineRule="auto"/>
              <w:jc w:val="center"/>
              <w:rPr>
                <w:rFonts w:cs="Calibri"/>
                <w:i/>
                <w:iCs/>
                <w:color w:val="333333"/>
                <w:szCs w:val="20"/>
              </w:rPr>
            </w:pPr>
            <w:r w:rsidRPr="00B67FEC">
              <w:rPr>
                <w:rFonts w:cs="Calibri"/>
                <w:b/>
                <w:bCs/>
                <w:i/>
                <w:iCs/>
                <w:color w:val="333333"/>
                <w:szCs w:val="20"/>
              </w:rPr>
              <w:t>Anno</w:t>
            </w:r>
          </w:p>
          <w:p w:rsidR="002F067E" w:rsidRPr="00B67FEC" w:rsidRDefault="002F067E" w:rsidP="007A706B">
            <w:pPr>
              <w:spacing w:line="240" w:lineRule="auto"/>
              <w:jc w:val="center"/>
              <w:rPr>
                <w:rFonts w:cs="Calibri"/>
                <w:color w:val="333333"/>
                <w:szCs w:val="20"/>
              </w:rPr>
            </w:pPr>
            <w:r w:rsidRPr="00B67FEC">
              <w:rPr>
                <w:rFonts w:cs="Calibri"/>
                <w:color w:val="333333"/>
                <w:szCs w:val="20"/>
              </w:rPr>
              <w:t>1° gennaio</w:t>
            </w:r>
          </w:p>
        </w:tc>
        <w:tc>
          <w:tcPr>
            <w:tcW w:w="743"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7A706B">
            <w:pPr>
              <w:spacing w:line="240" w:lineRule="auto"/>
              <w:jc w:val="right"/>
              <w:rPr>
                <w:rFonts w:cs="Calibri"/>
                <w:i/>
                <w:iCs/>
                <w:color w:val="333333"/>
                <w:szCs w:val="20"/>
              </w:rPr>
            </w:pPr>
            <w:r w:rsidRPr="00B67FEC">
              <w:rPr>
                <w:rFonts w:cs="Calibri"/>
                <w:i/>
                <w:iCs/>
                <w:color w:val="333333"/>
                <w:szCs w:val="20"/>
              </w:rPr>
              <w:t>0-14 anni</w:t>
            </w:r>
          </w:p>
        </w:tc>
        <w:tc>
          <w:tcPr>
            <w:tcW w:w="743"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7A706B">
            <w:pPr>
              <w:spacing w:line="240" w:lineRule="auto"/>
              <w:jc w:val="right"/>
              <w:rPr>
                <w:rFonts w:cs="Calibri"/>
                <w:i/>
                <w:iCs/>
                <w:color w:val="333333"/>
                <w:szCs w:val="20"/>
              </w:rPr>
            </w:pPr>
            <w:r w:rsidRPr="00B67FEC">
              <w:rPr>
                <w:rFonts w:cs="Calibri"/>
                <w:i/>
                <w:iCs/>
                <w:color w:val="333333"/>
                <w:szCs w:val="20"/>
              </w:rPr>
              <w:t>15-64 anni</w:t>
            </w:r>
          </w:p>
        </w:tc>
        <w:tc>
          <w:tcPr>
            <w:tcW w:w="743"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7A706B">
            <w:pPr>
              <w:spacing w:line="240" w:lineRule="auto"/>
              <w:jc w:val="right"/>
              <w:rPr>
                <w:rFonts w:cs="Calibri"/>
                <w:i/>
                <w:iCs/>
                <w:color w:val="333333"/>
                <w:szCs w:val="20"/>
              </w:rPr>
            </w:pPr>
            <w:r w:rsidRPr="00B67FEC">
              <w:rPr>
                <w:rFonts w:cs="Calibri"/>
                <w:i/>
                <w:iCs/>
                <w:color w:val="333333"/>
                <w:szCs w:val="20"/>
              </w:rPr>
              <w:t>65+ anni</w:t>
            </w:r>
          </w:p>
        </w:tc>
        <w:tc>
          <w:tcPr>
            <w:tcW w:w="1047"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7A706B">
            <w:pPr>
              <w:spacing w:line="240" w:lineRule="auto"/>
              <w:jc w:val="right"/>
              <w:rPr>
                <w:rFonts w:cs="Calibri"/>
                <w:i/>
                <w:iCs/>
                <w:color w:val="333333"/>
                <w:szCs w:val="20"/>
              </w:rPr>
            </w:pPr>
            <w:r w:rsidRPr="00B67FEC">
              <w:rPr>
                <w:rFonts w:cs="Calibri"/>
                <w:i/>
                <w:iCs/>
                <w:color w:val="333333"/>
                <w:szCs w:val="20"/>
              </w:rPr>
              <w:t>Totale</w:t>
            </w:r>
            <w:r w:rsidRPr="00B67FEC">
              <w:rPr>
                <w:rFonts w:cs="Calibri"/>
                <w:i/>
                <w:iCs/>
                <w:color w:val="333333"/>
                <w:szCs w:val="20"/>
              </w:rPr>
              <w:br/>
              <w:t>residenti</w:t>
            </w:r>
          </w:p>
        </w:tc>
        <w:tc>
          <w:tcPr>
            <w:tcW w:w="743"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7A706B">
            <w:pPr>
              <w:spacing w:line="240" w:lineRule="auto"/>
              <w:jc w:val="right"/>
              <w:rPr>
                <w:rFonts w:cs="Calibri"/>
                <w:i/>
                <w:iCs/>
                <w:color w:val="333333"/>
                <w:szCs w:val="20"/>
              </w:rPr>
            </w:pPr>
            <w:r w:rsidRPr="00B67FEC">
              <w:rPr>
                <w:rFonts w:cs="Calibri"/>
                <w:b/>
                <w:bCs/>
                <w:i/>
                <w:iCs/>
                <w:color w:val="333333"/>
                <w:szCs w:val="20"/>
              </w:rPr>
              <w:t>Età media</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2002</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4.685</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23.796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4.701</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33.182</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40,6</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2003</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4.693</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23.384</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4.984</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33.061</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41,1</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2004</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4.770</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23.150</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5.276</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33.196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41,3</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2005</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4.824</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22.959</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5.590</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33.373</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41,6</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2006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4.916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22.530</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5.935</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33.381</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41,9</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2007</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4.976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22.189</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6.247</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33.412</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42,2</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2008</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5.047</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21.949</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6.543</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33.539</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42,5</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2009</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5.142</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21.911</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6.766</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33.819</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42,7</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2010</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5.208</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21.751</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6.957</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33.916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42,9</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2011</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5.269</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21.941</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7.142</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34.352</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43,1</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2012</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5.094</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21.106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7.258</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33.458</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43,5</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2013</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5.084</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21.030</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7.522</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33.636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43,7</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2014</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5.121</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21.587</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7.903</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34.611</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44,1</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2015</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5.126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21.657</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8.125</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34.908</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44,3</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2016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5.039</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21.737</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8.261</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35.037</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44,7</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2017</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4.985</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21.893</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8.356</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35.234</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44,9</w:t>
            </w:r>
          </w:p>
        </w:tc>
      </w:tr>
      <w:tr w:rsidR="002F067E" w:rsidRPr="00B67FEC"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center"/>
              <w:rPr>
                <w:rFonts w:cs="Calibri"/>
                <w:color w:val="333333"/>
                <w:szCs w:val="20"/>
              </w:rPr>
            </w:pPr>
            <w:r w:rsidRPr="00B67FEC">
              <w:rPr>
                <w:rFonts w:cs="Calibri"/>
                <w:b/>
                <w:bCs/>
                <w:color w:val="333333"/>
                <w:szCs w:val="20"/>
              </w:rPr>
              <w:t>2018</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4.933</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22.045</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8.514</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color w:val="333333"/>
                <w:szCs w:val="20"/>
              </w:rPr>
              <w:t>35.492</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rsidP="007A706B">
            <w:pPr>
              <w:spacing w:line="240" w:lineRule="auto"/>
              <w:jc w:val="right"/>
              <w:rPr>
                <w:rFonts w:cs="Calibri"/>
                <w:color w:val="333333"/>
                <w:szCs w:val="20"/>
              </w:rPr>
            </w:pPr>
            <w:r w:rsidRPr="00B67FEC">
              <w:rPr>
                <w:rFonts w:cs="Calibri"/>
                <w:b/>
                <w:bCs/>
                <w:color w:val="333333"/>
                <w:szCs w:val="20"/>
              </w:rPr>
              <w:t>45,3</w:t>
            </w:r>
          </w:p>
        </w:tc>
      </w:tr>
      <w:tr w:rsidR="00FF2096" w:rsidRPr="00FF2096"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DA60F3" w:rsidRDefault="002F067E" w:rsidP="007A706B">
            <w:pPr>
              <w:spacing w:line="240" w:lineRule="auto"/>
              <w:jc w:val="center"/>
              <w:rPr>
                <w:rFonts w:cs="Calibri"/>
                <w:szCs w:val="20"/>
              </w:rPr>
            </w:pPr>
            <w:r w:rsidRPr="00DA60F3">
              <w:rPr>
                <w:rFonts w:cs="Calibri"/>
                <w:b/>
                <w:bCs/>
                <w:szCs w:val="20"/>
              </w:rPr>
              <w:t>2019</w:t>
            </w:r>
            <w:r w:rsidR="00FF2096" w:rsidRPr="00DA60F3">
              <w:rPr>
                <w:rFonts w:cs="Calibri"/>
                <w:b/>
                <w:bCs/>
                <w:szCs w:val="20"/>
              </w:rPr>
              <w:t>*</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DA60F3" w:rsidRDefault="00FF2096" w:rsidP="007A706B">
            <w:pPr>
              <w:spacing w:line="240" w:lineRule="auto"/>
              <w:jc w:val="right"/>
              <w:rPr>
                <w:rFonts w:cs="Calibri"/>
                <w:szCs w:val="20"/>
              </w:rPr>
            </w:pPr>
            <w:r w:rsidRPr="00DA60F3">
              <w:rPr>
                <w:rFonts w:cs="Calibri"/>
                <w:szCs w:val="20"/>
              </w:rPr>
              <w:t>5.077</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DA60F3" w:rsidRDefault="00FF2096" w:rsidP="007A706B">
            <w:pPr>
              <w:spacing w:line="240" w:lineRule="auto"/>
              <w:jc w:val="right"/>
              <w:rPr>
                <w:rFonts w:cs="Calibri"/>
                <w:szCs w:val="20"/>
              </w:rPr>
            </w:pPr>
            <w:r w:rsidRPr="00DA60F3">
              <w:rPr>
                <w:rFonts w:cs="Calibri"/>
                <w:szCs w:val="20"/>
              </w:rPr>
              <w:t>21.804</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DA60F3" w:rsidRDefault="00FF2096" w:rsidP="007A706B">
            <w:pPr>
              <w:spacing w:line="240" w:lineRule="auto"/>
              <w:jc w:val="right"/>
              <w:rPr>
                <w:rFonts w:cs="Calibri"/>
                <w:szCs w:val="20"/>
              </w:rPr>
            </w:pPr>
            <w:r w:rsidRPr="00DA60F3">
              <w:rPr>
                <w:rFonts w:cs="Calibri"/>
                <w:szCs w:val="20"/>
              </w:rPr>
              <w:t>8.388</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DA60F3" w:rsidRDefault="00FF2096" w:rsidP="007A706B">
            <w:pPr>
              <w:spacing w:line="240" w:lineRule="auto"/>
              <w:jc w:val="right"/>
              <w:rPr>
                <w:rFonts w:cs="Calibri"/>
                <w:szCs w:val="20"/>
              </w:rPr>
            </w:pPr>
            <w:r w:rsidRPr="00DA60F3">
              <w:rPr>
                <w:rFonts w:cs="Calibri"/>
                <w:szCs w:val="20"/>
              </w:rPr>
              <w:t>35.269</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DA60F3" w:rsidRDefault="002F067E" w:rsidP="007A706B">
            <w:pPr>
              <w:spacing w:line="240" w:lineRule="auto"/>
              <w:jc w:val="right"/>
              <w:rPr>
                <w:rFonts w:cs="Calibri"/>
                <w:szCs w:val="20"/>
              </w:rPr>
            </w:pPr>
            <w:r w:rsidRPr="00DA60F3">
              <w:rPr>
                <w:rFonts w:cs="Calibri"/>
                <w:b/>
                <w:bCs/>
                <w:szCs w:val="20"/>
              </w:rPr>
              <w:t>45,5</w:t>
            </w:r>
          </w:p>
        </w:tc>
      </w:tr>
      <w:tr w:rsidR="00FF2096" w:rsidRPr="00FF2096"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center"/>
              <w:rPr>
                <w:rFonts w:cs="Calibri"/>
                <w:b/>
                <w:bCs/>
                <w:szCs w:val="20"/>
              </w:rPr>
            </w:pPr>
            <w:r w:rsidRPr="00DA60F3">
              <w:rPr>
                <w:rFonts w:cs="Calibri"/>
                <w:b/>
                <w:bCs/>
                <w:szCs w:val="20"/>
              </w:rPr>
              <w:t>2020*</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szCs w:val="20"/>
              </w:rPr>
            </w:pPr>
            <w:r w:rsidRPr="00DA60F3">
              <w:rPr>
                <w:rFonts w:cs="Calibri"/>
                <w:szCs w:val="20"/>
              </w:rPr>
              <w:t>5.032</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szCs w:val="20"/>
              </w:rPr>
            </w:pPr>
            <w:r w:rsidRPr="00DA60F3">
              <w:rPr>
                <w:rFonts w:cs="Calibri"/>
                <w:szCs w:val="20"/>
              </w:rPr>
              <w:t>22.054</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szCs w:val="20"/>
              </w:rPr>
            </w:pPr>
            <w:r w:rsidRPr="00DA60F3">
              <w:rPr>
                <w:rFonts w:cs="Calibri"/>
                <w:szCs w:val="20"/>
              </w:rPr>
              <w:t>8.511</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szCs w:val="20"/>
              </w:rPr>
            </w:pPr>
            <w:r w:rsidRPr="00DA60F3">
              <w:rPr>
                <w:rFonts w:cs="Calibri"/>
                <w:szCs w:val="20"/>
              </w:rPr>
              <w:t>35.597</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b/>
                <w:bCs/>
                <w:szCs w:val="20"/>
              </w:rPr>
            </w:pPr>
            <w:r w:rsidRPr="00DA60F3">
              <w:rPr>
                <w:rFonts w:cs="Calibri"/>
                <w:b/>
                <w:bCs/>
                <w:szCs w:val="20"/>
              </w:rPr>
              <w:t>45.7</w:t>
            </w:r>
          </w:p>
        </w:tc>
      </w:tr>
      <w:tr w:rsidR="00FF2096" w:rsidRPr="00DA60F3" w:rsidTr="007A706B">
        <w:tc>
          <w:tcPr>
            <w:tcW w:w="981"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center"/>
              <w:rPr>
                <w:rFonts w:cs="Calibri"/>
                <w:b/>
                <w:bCs/>
                <w:szCs w:val="20"/>
              </w:rPr>
            </w:pPr>
            <w:r w:rsidRPr="00DA60F3">
              <w:rPr>
                <w:rFonts w:cs="Calibri"/>
                <w:b/>
                <w:bCs/>
                <w:szCs w:val="20"/>
              </w:rPr>
              <w:t>2021*</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szCs w:val="20"/>
              </w:rPr>
            </w:pPr>
            <w:r w:rsidRPr="00DA60F3">
              <w:rPr>
                <w:rFonts w:cs="Calibri"/>
                <w:szCs w:val="20"/>
              </w:rPr>
              <w:t>5.120</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szCs w:val="20"/>
              </w:rPr>
            </w:pPr>
            <w:r w:rsidRPr="00DA60F3">
              <w:rPr>
                <w:rFonts w:cs="Calibri"/>
                <w:szCs w:val="20"/>
              </w:rPr>
              <w:t>22.606</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szCs w:val="20"/>
              </w:rPr>
            </w:pPr>
            <w:r w:rsidRPr="00DA60F3">
              <w:rPr>
                <w:rFonts w:cs="Calibri"/>
                <w:szCs w:val="20"/>
              </w:rPr>
              <w:t>8.746</w:t>
            </w:r>
          </w:p>
        </w:tc>
        <w:tc>
          <w:tcPr>
            <w:tcW w:w="1047"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szCs w:val="20"/>
              </w:rPr>
            </w:pPr>
            <w:r w:rsidRPr="00DA60F3">
              <w:rPr>
                <w:rFonts w:cs="Calibri"/>
                <w:szCs w:val="20"/>
              </w:rPr>
              <w:t>36.482</w:t>
            </w:r>
          </w:p>
        </w:tc>
        <w:tc>
          <w:tcPr>
            <w:tcW w:w="7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7A706B">
            <w:pPr>
              <w:spacing w:line="240" w:lineRule="auto"/>
              <w:jc w:val="right"/>
              <w:rPr>
                <w:rFonts w:cs="Calibri"/>
                <w:b/>
                <w:bCs/>
                <w:szCs w:val="20"/>
              </w:rPr>
            </w:pPr>
            <w:r w:rsidRPr="00DA60F3">
              <w:rPr>
                <w:rFonts w:cs="Calibri"/>
                <w:b/>
                <w:bCs/>
                <w:szCs w:val="20"/>
              </w:rPr>
              <w:t>45.8</w:t>
            </w:r>
          </w:p>
        </w:tc>
      </w:tr>
    </w:tbl>
    <w:p w:rsidR="008C12C8" w:rsidRPr="00DA60F3" w:rsidRDefault="00FF2096" w:rsidP="007A706B">
      <w:r w:rsidRPr="00DA60F3">
        <w:t xml:space="preserve">(*) popolazione post-censimento – fonte </w:t>
      </w:r>
      <w:proofErr w:type="spellStart"/>
      <w:r w:rsidRPr="00DA60F3">
        <w:t>tuttitalia.it</w:t>
      </w:r>
      <w:proofErr w:type="spellEnd"/>
      <w:r w:rsidRPr="00DA60F3">
        <w:tab/>
      </w:r>
    </w:p>
    <w:p w:rsidR="002F067E" w:rsidRPr="008C12C8" w:rsidRDefault="002F067E" w:rsidP="007A706B">
      <w:pPr>
        <w:rPr>
          <w:b/>
        </w:rPr>
      </w:pPr>
      <w:r w:rsidRPr="008C12C8">
        <w:rPr>
          <w:b/>
        </w:rPr>
        <w:t>Indicatori demografici</w:t>
      </w:r>
    </w:p>
    <w:p w:rsidR="002F067E" w:rsidRPr="00B67FEC" w:rsidRDefault="002F067E" w:rsidP="002F067E">
      <w:pPr>
        <w:pStyle w:val="NormaleWeb"/>
        <w:shd w:val="clear" w:color="auto" w:fill="FFFFFF"/>
        <w:spacing w:before="75" w:beforeAutospacing="0" w:after="0" w:afterAutospacing="0"/>
        <w:rPr>
          <w:rFonts w:cs="Calibri"/>
          <w:color w:val="333333"/>
          <w:szCs w:val="20"/>
        </w:rPr>
      </w:pPr>
      <w:r w:rsidRPr="00B67FEC">
        <w:rPr>
          <w:rFonts w:cs="Calibri"/>
          <w:color w:val="333333"/>
          <w:szCs w:val="20"/>
        </w:rPr>
        <w:lastRenderedPageBreak/>
        <w:t>Principali indici demografici calcolati sulla popolazione residente a Segrate.</w:t>
      </w:r>
    </w:p>
    <w:tbl>
      <w:tblPr>
        <w:tblW w:w="5000" w:type="pct"/>
        <w:shd w:val="clear" w:color="auto" w:fill="FFFFFF"/>
        <w:tblCellMar>
          <w:left w:w="0" w:type="dxa"/>
          <w:right w:w="0" w:type="dxa"/>
        </w:tblCellMar>
        <w:tblLook w:val="04A0"/>
      </w:tblPr>
      <w:tblGrid>
        <w:gridCol w:w="1618"/>
        <w:gridCol w:w="1154"/>
        <w:gridCol w:w="1188"/>
        <w:gridCol w:w="1216"/>
        <w:gridCol w:w="1216"/>
        <w:gridCol w:w="1154"/>
        <w:gridCol w:w="1222"/>
        <w:gridCol w:w="1216"/>
      </w:tblGrid>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FB71D3">
            <w:pPr>
              <w:spacing w:line="240" w:lineRule="auto"/>
              <w:jc w:val="center"/>
              <w:rPr>
                <w:rFonts w:cs="Calibri"/>
                <w:i/>
                <w:iCs/>
                <w:color w:val="333333"/>
                <w:szCs w:val="20"/>
              </w:rPr>
            </w:pPr>
            <w:r w:rsidRPr="00B67FEC">
              <w:rPr>
                <w:rFonts w:cs="Calibri"/>
                <w:b/>
                <w:bCs/>
                <w:i/>
                <w:iCs/>
                <w:color w:val="333333"/>
                <w:szCs w:val="20"/>
              </w:rPr>
              <w:t>Anno</w:t>
            </w:r>
          </w:p>
        </w:tc>
        <w:tc>
          <w:tcPr>
            <w:tcW w:w="578"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FB71D3">
            <w:pPr>
              <w:spacing w:line="240" w:lineRule="auto"/>
              <w:jc w:val="right"/>
              <w:rPr>
                <w:rFonts w:cs="Calibri"/>
                <w:i/>
                <w:iCs/>
                <w:color w:val="333333"/>
                <w:szCs w:val="20"/>
              </w:rPr>
            </w:pPr>
            <w:r w:rsidRPr="00B67FEC">
              <w:rPr>
                <w:rFonts w:cs="Calibri"/>
                <w:i/>
                <w:iCs/>
                <w:color w:val="333333"/>
                <w:szCs w:val="20"/>
              </w:rPr>
              <w:t>Indice di</w:t>
            </w:r>
            <w:r w:rsidRPr="00B67FEC">
              <w:rPr>
                <w:rFonts w:cs="Calibri"/>
                <w:i/>
                <w:iCs/>
                <w:color w:val="333333"/>
                <w:szCs w:val="20"/>
              </w:rPr>
              <w:br/>
            </w:r>
            <w:r w:rsidRPr="00B67FEC">
              <w:rPr>
                <w:rFonts w:cs="Calibri"/>
                <w:b/>
                <w:bCs/>
                <w:i/>
                <w:iCs/>
                <w:color w:val="333333"/>
                <w:szCs w:val="20"/>
              </w:rPr>
              <w:t>vecchiaia</w:t>
            </w:r>
          </w:p>
        </w:tc>
        <w:tc>
          <w:tcPr>
            <w:tcW w:w="595"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FB71D3">
            <w:pPr>
              <w:spacing w:line="240" w:lineRule="auto"/>
              <w:jc w:val="right"/>
              <w:rPr>
                <w:rFonts w:cs="Calibri"/>
                <w:i/>
                <w:iCs/>
                <w:color w:val="333333"/>
                <w:szCs w:val="20"/>
              </w:rPr>
            </w:pPr>
            <w:r w:rsidRPr="00B67FEC">
              <w:rPr>
                <w:rFonts w:cs="Calibri"/>
                <w:i/>
                <w:iCs/>
                <w:color w:val="333333"/>
                <w:szCs w:val="20"/>
              </w:rPr>
              <w:t>Indice di</w:t>
            </w:r>
            <w:r w:rsidRPr="00B67FEC">
              <w:rPr>
                <w:rFonts w:cs="Calibri"/>
                <w:i/>
                <w:iCs/>
                <w:color w:val="333333"/>
                <w:szCs w:val="20"/>
              </w:rPr>
              <w:br/>
            </w:r>
            <w:r w:rsidRPr="00B67FEC">
              <w:rPr>
                <w:rFonts w:cs="Calibri"/>
                <w:b/>
                <w:bCs/>
                <w:i/>
                <w:iCs/>
                <w:color w:val="333333"/>
                <w:szCs w:val="20"/>
              </w:rPr>
              <w:t>dipendenza</w:t>
            </w:r>
            <w:r w:rsidRPr="00B67FEC">
              <w:rPr>
                <w:rFonts w:cs="Calibri"/>
                <w:i/>
                <w:iCs/>
                <w:color w:val="333333"/>
                <w:szCs w:val="20"/>
              </w:rPr>
              <w:br/>
              <w:t>strutturale</w:t>
            </w:r>
          </w:p>
        </w:tc>
        <w:tc>
          <w:tcPr>
            <w:tcW w:w="609"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FB71D3">
            <w:pPr>
              <w:spacing w:line="240" w:lineRule="auto"/>
              <w:jc w:val="right"/>
              <w:rPr>
                <w:rFonts w:cs="Calibri"/>
                <w:i/>
                <w:iCs/>
                <w:color w:val="333333"/>
                <w:szCs w:val="20"/>
              </w:rPr>
            </w:pPr>
            <w:r w:rsidRPr="00B67FEC">
              <w:rPr>
                <w:rFonts w:cs="Calibri"/>
                <w:i/>
                <w:iCs/>
                <w:color w:val="333333"/>
                <w:szCs w:val="20"/>
              </w:rPr>
              <w:t>Indice di</w:t>
            </w:r>
            <w:r w:rsidRPr="00B67FEC">
              <w:rPr>
                <w:rFonts w:cs="Calibri"/>
                <w:i/>
                <w:iCs/>
                <w:color w:val="333333"/>
                <w:szCs w:val="20"/>
              </w:rPr>
              <w:br/>
            </w:r>
            <w:r w:rsidRPr="00B67FEC">
              <w:rPr>
                <w:rFonts w:cs="Calibri"/>
                <w:b/>
                <w:bCs/>
                <w:i/>
                <w:iCs/>
                <w:color w:val="333333"/>
                <w:szCs w:val="20"/>
              </w:rPr>
              <w:t>ricambio</w:t>
            </w:r>
            <w:r w:rsidRPr="00B67FEC">
              <w:rPr>
                <w:rFonts w:cs="Calibri"/>
                <w:i/>
                <w:iCs/>
                <w:color w:val="333333"/>
                <w:szCs w:val="20"/>
              </w:rPr>
              <w:br/>
              <w:t>della</w:t>
            </w:r>
            <w:r w:rsidRPr="00B67FEC">
              <w:rPr>
                <w:rFonts w:cs="Calibri"/>
                <w:i/>
                <w:iCs/>
                <w:color w:val="333333"/>
                <w:szCs w:val="20"/>
              </w:rPr>
              <w:br/>
              <w:t>popolazione</w:t>
            </w:r>
            <w:r w:rsidRPr="00B67FEC">
              <w:rPr>
                <w:rFonts w:cs="Calibri"/>
                <w:i/>
                <w:iCs/>
                <w:color w:val="333333"/>
                <w:szCs w:val="20"/>
              </w:rPr>
              <w:br/>
              <w:t>attiva</w:t>
            </w:r>
          </w:p>
        </w:tc>
        <w:tc>
          <w:tcPr>
            <w:tcW w:w="609"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FB71D3">
            <w:pPr>
              <w:spacing w:line="240" w:lineRule="auto"/>
              <w:jc w:val="right"/>
              <w:rPr>
                <w:rFonts w:cs="Calibri"/>
                <w:i/>
                <w:iCs/>
                <w:color w:val="333333"/>
                <w:szCs w:val="20"/>
              </w:rPr>
            </w:pPr>
            <w:r w:rsidRPr="00B67FEC">
              <w:rPr>
                <w:rFonts w:cs="Calibri"/>
                <w:i/>
                <w:iCs/>
                <w:color w:val="333333"/>
                <w:szCs w:val="20"/>
              </w:rPr>
              <w:t>Indice di</w:t>
            </w:r>
            <w:r w:rsidRPr="00B67FEC">
              <w:rPr>
                <w:rFonts w:cs="Calibri"/>
                <w:i/>
                <w:iCs/>
                <w:color w:val="333333"/>
                <w:szCs w:val="20"/>
              </w:rPr>
              <w:br/>
            </w:r>
            <w:r w:rsidRPr="00B67FEC">
              <w:rPr>
                <w:rFonts w:cs="Calibri"/>
                <w:b/>
                <w:bCs/>
                <w:i/>
                <w:iCs/>
                <w:color w:val="333333"/>
                <w:szCs w:val="20"/>
              </w:rPr>
              <w:t>struttura</w:t>
            </w:r>
            <w:r w:rsidRPr="00B67FEC">
              <w:rPr>
                <w:rFonts w:cs="Calibri"/>
                <w:i/>
                <w:iCs/>
                <w:color w:val="333333"/>
                <w:szCs w:val="20"/>
              </w:rPr>
              <w:br/>
              <w:t>della</w:t>
            </w:r>
            <w:r w:rsidRPr="00B67FEC">
              <w:rPr>
                <w:rFonts w:cs="Calibri"/>
                <w:i/>
                <w:iCs/>
                <w:color w:val="333333"/>
                <w:szCs w:val="20"/>
              </w:rPr>
              <w:br/>
              <w:t>popolazione</w:t>
            </w:r>
            <w:r w:rsidRPr="00B67FEC">
              <w:rPr>
                <w:rFonts w:cs="Calibri"/>
                <w:i/>
                <w:iCs/>
                <w:color w:val="333333"/>
                <w:szCs w:val="20"/>
              </w:rPr>
              <w:br/>
              <w:t>attiva</w:t>
            </w:r>
          </w:p>
        </w:tc>
        <w:tc>
          <w:tcPr>
            <w:tcW w:w="578"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FB71D3">
            <w:pPr>
              <w:spacing w:line="240" w:lineRule="auto"/>
              <w:jc w:val="right"/>
              <w:rPr>
                <w:rFonts w:cs="Calibri"/>
                <w:i/>
                <w:iCs/>
                <w:color w:val="333333"/>
                <w:szCs w:val="20"/>
              </w:rPr>
            </w:pPr>
            <w:r w:rsidRPr="00B67FEC">
              <w:rPr>
                <w:rFonts w:cs="Calibri"/>
                <w:i/>
                <w:iCs/>
                <w:color w:val="333333"/>
                <w:szCs w:val="20"/>
              </w:rPr>
              <w:t>Indice di</w:t>
            </w:r>
            <w:r w:rsidRPr="00B67FEC">
              <w:rPr>
                <w:rFonts w:cs="Calibri"/>
                <w:i/>
                <w:iCs/>
                <w:color w:val="333333"/>
                <w:szCs w:val="20"/>
              </w:rPr>
              <w:br/>
            </w:r>
            <w:r w:rsidRPr="00B67FEC">
              <w:rPr>
                <w:rFonts w:cs="Calibri"/>
                <w:b/>
                <w:bCs/>
                <w:i/>
                <w:iCs/>
                <w:color w:val="333333"/>
                <w:szCs w:val="20"/>
              </w:rPr>
              <w:t>carico</w:t>
            </w:r>
            <w:r w:rsidRPr="00B67FEC">
              <w:rPr>
                <w:rFonts w:cs="Calibri"/>
                <w:i/>
                <w:iCs/>
                <w:color w:val="333333"/>
                <w:szCs w:val="20"/>
              </w:rPr>
              <w:br/>
              <w:t>di figli</w:t>
            </w:r>
            <w:r w:rsidRPr="00B67FEC">
              <w:rPr>
                <w:rFonts w:cs="Calibri"/>
                <w:i/>
                <w:iCs/>
                <w:color w:val="333333"/>
                <w:szCs w:val="20"/>
              </w:rPr>
              <w:br/>
              <w:t>per donna</w:t>
            </w:r>
            <w:r w:rsidRPr="00B67FEC">
              <w:rPr>
                <w:rFonts w:cs="Calibri"/>
                <w:i/>
                <w:iCs/>
                <w:color w:val="333333"/>
                <w:szCs w:val="20"/>
              </w:rPr>
              <w:br/>
              <w:t>feconda</w:t>
            </w:r>
          </w:p>
        </w:tc>
        <w:tc>
          <w:tcPr>
            <w:tcW w:w="612"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FB71D3">
            <w:pPr>
              <w:spacing w:line="240" w:lineRule="auto"/>
              <w:jc w:val="right"/>
              <w:rPr>
                <w:rFonts w:cs="Calibri"/>
                <w:i/>
                <w:iCs/>
                <w:color w:val="333333"/>
                <w:szCs w:val="20"/>
              </w:rPr>
            </w:pPr>
            <w:r w:rsidRPr="00B67FEC">
              <w:rPr>
                <w:rFonts w:cs="Calibri"/>
                <w:i/>
                <w:iCs/>
                <w:color w:val="333333"/>
                <w:szCs w:val="20"/>
              </w:rPr>
              <w:t>Indice di</w:t>
            </w:r>
            <w:r w:rsidRPr="00B67FEC">
              <w:rPr>
                <w:rFonts w:cs="Calibri"/>
                <w:i/>
                <w:iCs/>
                <w:color w:val="333333"/>
                <w:szCs w:val="20"/>
              </w:rPr>
              <w:br/>
            </w:r>
            <w:r w:rsidRPr="00B67FEC">
              <w:rPr>
                <w:rFonts w:cs="Calibri"/>
                <w:b/>
                <w:bCs/>
                <w:i/>
                <w:iCs/>
                <w:color w:val="333333"/>
                <w:szCs w:val="20"/>
              </w:rPr>
              <w:t>natalità</w:t>
            </w:r>
            <w:r w:rsidRPr="00B67FEC">
              <w:rPr>
                <w:rFonts w:cs="Calibri"/>
                <w:i/>
                <w:iCs/>
                <w:color w:val="333333"/>
                <w:szCs w:val="20"/>
              </w:rPr>
              <w:br/>
              <w:t>(x 1.000 ab.)</w:t>
            </w:r>
          </w:p>
        </w:tc>
        <w:tc>
          <w:tcPr>
            <w:tcW w:w="610"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rsidP="00FB71D3">
            <w:pPr>
              <w:spacing w:line="240" w:lineRule="auto"/>
              <w:jc w:val="right"/>
              <w:rPr>
                <w:rFonts w:cs="Calibri"/>
                <w:i/>
                <w:iCs/>
                <w:color w:val="333333"/>
                <w:szCs w:val="20"/>
              </w:rPr>
            </w:pPr>
            <w:r w:rsidRPr="00B67FEC">
              <w:rPr>
                <w:rFonts w:cs="Calibri"/>
                <w:i/>
                <w:iCs/>
                <w:color w:val="333333"/>
                <w:szCs w:val="20"/>
              </w:rPr>
              <w:t>Indice di</w:t>
            </w:r>
            <w:r w:rsidRPr="00B67FEC">
              <w:rPr>
                <w:rFonts w:cs="Calibri"/>
                <w:i/>
                <w:iCs/>
                <w:color w:val="333333"/>
                <w:szCs w:val="20"/>
              </w:rPr>
              <w:br/>
            </w:r>
            <w:r w:rsidRPr="00B67FEC">
              <w:rPr>
                <w:rFonts w:cs="Calibri"/>
                <w:b/>
                <w:bCs/>
                <w:i/>
                <w:iCs/>
                <w:color w:val="333333"/>
                <w:szCs w:val="20"/>
              </w:rPr>
              <w:t>mortalità</w:t>
            </w:r>
            <w:r w:rsidRPr="00B67FEC">
              <w:rPr>
                <w:rFonts w:cs="Calibri"/>
                <w:i/>
                <w:iCs/>
                <w:color w:val="333333"/>
                <w:szCs w:val="20"/>
              </w:rPr>
              <w:br/>
              <w:t>(x 1.000 ab.)</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EEEEEE"/>
            <w:tcMar>
              <w:top w:w="60" w:type="dxa"/>
              <w:left w:w="60" w:type="dxa"/>
              <w:bottom w:w="60" w:type="dxa"/>
              <w:right w:w="60" w:type="dxa"/>
            </w:tcMar>
            <w:hideMark/>
          </w:tcPr>
          <w:p w:rsidR="002F067E" w:rsidRPr="00B67FEC" w:rsidRDefault="002F067E">
            <w:pPr>
              <w:jc w:val="right"/>
              <w:rPr>
                <w:rFonts w:cs="Calibri"/>
                <w:i/>
                <w:iCs/>
                <w:color w:val="333333"/>
                <w:szCs w:val="20"/>
              </w:rPr>
            </w:pPr>
            <w:r w:rsidRPr="00B67FEC">
              <w:rPr>
                <w:rFonts w:cs="Calibri"/>
                <w:i/>
                <w:iCs/>
                <w:color w:val="333333"/>
                <w:szCs w:val="20"/>
              </w:rPr>
              <w:t> </w:t>
            </w:r>
          </w:p>
        </w:tc>
        <w:tc>
          <w:tcPr>
            <w:tcW w:w="578" w:type="pct"/>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rsidR="002F067E" w:rsidRPr="00B67FEC" w:rsidRDefault="002F067E">
            <w:pPr>
              <w:spacing w:before="105"/>
              <w:jc w:val="right"/>
              <w:rPr>
                <w:rFonts w:cs="Calibri"/>
                <w:color w:val="333333"/>
                <w:szCs w:val="20"/>
              </w:rPr>
            </w:pPr>
            <w:r w:rsidRPr="00B67FEC">
              <w:rPr>
                <w:rFonts w:cs="Calibri"/>
                <w:color w:val="333333"/>
                <w:szCs w:val="20"/>
              </w:rPr>
              <w:t>1° gennaio</w:t>
            </w:r>
          </w:p>
        </w:tc>
        <w:tc>
          <w:tcPr>
            <w:tcW w:w="595" w:type="pct"/>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rsidR="002F067E" w:rsidRPr="00B67FEC" w:rsidRDefault="002F067E">
            <w:pPr>
              <w:spacing w:before="105"/>
              <w:jc w:val="right"/>
              <w:rPr>
                <w:rFonts w:cs="Calibri"/>
                <w:color w:val="333333"/>
                <w:szCs w:val="20"/>
              </w:rPr>
            </w:pPr>
            <w:r w:rsidRPr="00B67FEC">
              <w:rPr>
                <w:rFonts w:cs="Calibri"/>
                <w:color w:val="333333"/>
                <w:szCs w:val="20"/>
              </w:rPr>
              <w:t>1° gennaio</w:t>
            </w:r>
          </w:p>
        </w:tc>
        <w:tc>
          <w:tcPr>
            <w:tcW w:w="609" w:type="pct"/>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rsidR="002F067E" w:rsidRPr="00B67FEC" w:rsidRDefault="002F067E">
            <w:pPr>
              <w:spacing w:before="105"/>
              <w:jc w:val="right"/>
              <w:rPr>
                <w:rFonts w:cs="Calibri"/>
                <w:color w:val="333333"/>
                <w:szCs w:val="20"/>
              </w:rPr>
            </w:pPr>
            <w:r w:rsidRPr="00B67FEC">
              <w:rPr>
                <w:rFonts w:cs="Calibri"/>
                <w:color w:val="333333"/>
                <w:szCs w:val="20"/>
              </w:rPr>
              <w:t>1° gennaio</w:t>
            </w:r>
          </w:p>
        </w:tc>
        <w:tc>
          <w:tcPr>
            <w:tcW w:w="609" w:type="pct"/>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rsidR="002F067E" w:rsidRPr="00B67FEC" w:rsidRDefault="002F067E">
            <w:pPr>
              <w:spacing w:before="105"/>
              <w:jc w:val="right"/>
              <w:rPr>
                <w:rFonts w:cs="Calibri"/>
                <w:color w:val="333333"/>
                <w:szCs w:val="20"/>
              </w:rPr>
            </w:pPr>
            <w:r w:rsidRPr="00B67FEC">
              <w:rPr>
                <w:rFonts w:cs="Calibri"/>
                <w:color w:val="333333"/>
                <w:szCs w:val="20"/>
              </w:rPr>
              <w:t>1° gennaio</w:t>
            </w:r>
          </w:p>
        </w:tc>
        <w:tc>
          <w:tcPr>
            <w:tcW w:w="578" w:type="pct"/>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rsidR="002F067E" w:rsidRPr="00B67FEC" w:rsidRDefault="002F067E">
            <w:pPr>
              <w:spacing w:before="105"/>
              <w:jc w:val="right"/>
              <w:rPr>
                <w:rFonts w:cs="Calibri"/>
                <w:color w:val="333333"/>
                <w:szCs w:val="20"/>
              </w:rPr>
            </w:pPr>
            <w:r w:rsidRPr="00B67FEC">
              <w:rPr>
                <w:rFonts w:cs="Calibri"/>
                <w:color w:val="333333"/>
                <w:szCs w:val="20"/>
              </w:rPr>
              <w:t>1° gennaio</w:t>
            </w:r>
          </w:p>
        </w:tc>
        <w:tc>
          <w:tcPr>
            <w:tcW w:w="612" w:type="pct"/>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rsidR="002F067E" w:rsidRPr="00B67FEC" w:rsidRDefault="002F067E">
            <w:pPr>
              <w:spacing w:before="105"/>
              <w:jc w:val="right"/>
              <w:rPr>
                <w:rFonts w:cs="Calibri"/>
                <w:color w:val="333333"/>
                <w:szCs w:val="20"/>
              </w:rPr>
            </w:pPr>
            <w:r w:rsidRPr="00B67FEC">
              <w:rPr>
                <w:rFonts w:cs="Calibri"/>
                <w:color w:val="333333"/>
                <w:szCs w:val="20"/>
              </w:rPr>
              <w:t xml:space="preserve">1 gen-31 </w:t>
            </w:r>
            <w:proofErr w:type="spellStart"/>
            <w:r w:rsidRPr="00B67FEC">
              <w:rPr>
                <w:rFonts w:cs="Calibri"/>
                <w:color w:val="333333"/>
                <w:szCs w:val="20"/>
              </w:rPr>
              <w:t>dic</w:t>
            </w:r>
            <w:proofErr w:type="spellEnd"/>
          </w:p>
        </w:tc>
        <w:tc>
          <w:tcPr>
            <w:tcW w:w="610" w:type="pct"/>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rsidR="002F067E" w:rsidRPr="00B67FEC" w:rsidRDefault="002F067E">
            <w:pPr>
              <w:spacing w:before="105"/>
              <w:jc w:val="right"/>
              <w:rPr>
                <w:rFonts w:cs="Calibri"/>
                <w:color w:val="333333"/>
                <w:szCs w:val="20"/>
              </w:rPr>
            </w:pPr>
            <w:r w:rsidRPr="00B67FEC">
              <w:rPr>
                <w:rFonts w:cs="Calibri"/>
                <w:color w:val="333333"/>
                <w:szCs w:val="20"/>
              </w:rPr>
              <w:t xml:space="preserve">1 gen-31 </w:t>
            </w:r>
            <w:proofErr w:type="spellStart"/>
            <w:r w:rsidRPr="00B67FEC">
              <w:rPr>
                <w:rFonts w:cs="Calibri"/>
                <w:color w:val="333333"/>
                <w:szCs w:val="20"/>
              </w:rPr>
              <w:t>dic</w:t>
            </w:r>
            <w:proofErr w:type="spellEnd"/>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2002</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100,3</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39,4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187,5</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107,9</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20,7</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9,2</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6,8</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2003</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106,2</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41,4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197,5</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111,4</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20,6</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10,7</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6,7</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2004</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110,6</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43,4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184,6</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112,4</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21,0</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9,3</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6,4</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2005</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115,9</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45,4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175,4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115,9</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21,0</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10,0</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6,1</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2006</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120,7</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48,2</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162,3</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121,4</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21,2</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9,8</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6,2</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2007</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125,5</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50,6</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160,6</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126,2</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21,1</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10,1</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6,0</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2008</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129,6</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52,8</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159,4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129,8</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22,1</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9,5</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5,9</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2009</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131,6</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54,3</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162,8</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134,2</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22,3</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9,1</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7,3</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2010</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133,6</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55,9</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156,4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138,2</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22,9</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9,0</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7,6</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2011</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135,5</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56,6</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148,6</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139,9</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22,7</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9,1</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7,0</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2012</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142,5</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58,5</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136,4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143,7</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22,2</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8,0</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7,7</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2013</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148,0</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59,9</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125,3</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146,2</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21,2</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7,2</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6,5</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2014</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154,3</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60,3</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118,3</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149,0</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20,1</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8,3</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7,5</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2015</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158,5</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61,2</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113,9</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151,6</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20,2</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7,7</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7,8</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2016</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163,9</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61,2</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113,4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152,9</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19,5</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7,9</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7,6</w:t>
            </w:r>
          </w:p>
        </w:tc>
      </w:tr>
      <w:tr w:rsidR="002F067E" w:rsidRPr="00B67FEC"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2017</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167,6</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60,9</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114,2</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154,7</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19,1</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6,8</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8,0</w:t>
            </w:r>
          </w:p>
        </w:tc>
      </w:tr>
      <w:tr w:rsidR="002F067E" w:rsidRPr="00DA60F3"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center"/>
              <w:rPr>
                <w:rFonts w:cs="Calibri"/>
                <w:color w:val="333333"/>
                <w:szCs w:val="20"/>
              </w:rPr>
            </w:pPr>
            <w:r w:rsidRPr="00B67FEC">
              <w:rPr>
                <w:rFonts w:cs="Calibri"/>
                <w:b/>
                <w:bCs/>
                <w:color w:val="333333"/>
                <w:szCs w:val="20"/>
              </w:rPr>
              <w:t>2018</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172,6</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61,0</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118,7</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157,9</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B67FEC" w:rsidRDefault="002F067E">
            <w:pPr>
              <w:jc w:val="right"/>
              <w:rPr>
                <w:rFonts w:cs="Calibri"/>
                <w:color w:val="333333"/>
                <w:szCs w:val="20"/>
              </w:rPr>
            </w:pPr>
            <w:r w:rsidRPr="00B67FEC">
              <w:rPr>
                <w:rFonts w:cs="Calibri"/>
                <w:color w:val="333333"/>
                <w:szCs w:val="20"/>
              </w:rPr>
              <w:t>19,1</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DA60F3" w:rsidRDefault="002F067E">
            <w:pPr>
              <w:jc w:val="right"/>
              <w:rPr>
                <w:rFonts w:cs="Calibri"/>
                <w:szCs w:val="20"/>
              </w:rPr>
            </w:pPr>
            <w:r w:rsidRPr="00DA60F3">
              <w:rPr>
                <w:rFonts w:cs="Calibri"/>
                <w:szCs w:val="20"/>
              </w:rPr>
              <w:t>7,</w:t>
            </w:r>
            <w:r w:rsidR="00FF2096" w:rsidRPr="00DA60F3">
              <w:rPr>
                <w:rFonts w:cs="Calibri"/>
                <w:szCs w:val="20"/>
              </w:rPr>
              <w:t>2</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F067E" w:rsidRPr="00DA60F3" w:rsidRDefault="002F067E">
            <w:pPr>
              <w:jc w:val="right"/>
              <w:rPr>
                <w:rFonts w:cs="Calibri"/>
                <w:szCs w:val="20"/>
              </w:rPr>
            </w:pPr>
            <w:r w:rsidRPr="00DA60F3">
              <w:rPr>
                <w:rFonts w:cs="Calibri"/>
                <w:szCs w:val="20"/>
              </w:rPr>
              <w:t>8,</w:t>
            </w:r>
            <w:r w:rsidR="00FF2096" w:rsidRPr="00DA60F3">
              <w:rPr>
                <w:rFonts w:cs="Calibri"/>
                <w:szCs w:val="20"/>
              </w:rPr>
              <w:t>9</w:t>
            </w:r>
          </w:p>
        </w:tc>
      </w:tr>
      <w:tr w:rsidR="00FF2096" w:rsidRPr="00DA60F3"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FF2096" w:rsidRPr="00DA60F3" w:rsidRDefault="00FF2096" w:rsidP="00FF2096">
            <w:pPr>
              <w:jc w:val="center"/>
              <w:rPr>
                <w:rFonts w:cs="Calibri"/>
                <w:b/>
                <w:bCs/>
                <w:szCs w:val="20"/>
              </w:rPr>
            </w:pPr>
            <w:r w:rsidRPr="00DA60F3">
              <w:rPr>
                <w:rFonts w:cs="Calibri"/>
                <w:b/>
                <w:bCs/>
                <w:szCs w:val="20"/>
              </w:rPr>
              <w:t>2019</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FF2096" w:rsidRPr="00DA60F3" w:rsidRDefault="00FF2096" w:rsidP="00FF2096">
            <w:pPr>
              <w:jc w:val="right"/>
              <w:rPr>
                <w:rFonts w:cs="Calibri"/>
                <w:szCs w:val="20"/>
              </w:rPr>
            </w:pPr>
            <w:r w:rsidRPr="00DA60F3">
              <w:rPr>
                <w:rFonts w:cs="Calibri"/>
                <w:szCs w:val="20"/>
              </w:rPr>
              <w:t>165,2</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FF2096" w:rsidRPr="00DA60F3" w:rsidRDefault="00FF2096" w:rsidP="00FF2096">
            <w:pPr>
              <w:jc w:val="right"/>
              <w:rPr>
                <w:rFonts w:cs="Calibri"/>
                <w:szCs w:val="20"/>
              </w:rPr>
            </w:pPr>
            <w:r w:rsidRPr="00DA60F3">
              <w:rPr>
                <w:rFonts w:cs="Calibri"/>
                <w:szCs w:val="20"/>
              </w:rPr>
              <w:t>61,8</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FF2096" w:rsidRPr="00DA60F3" w:rsidRDefault="00FF2096" w:rsidP="00FF2096">
            <w:pPr>
              <w:jc w:val="right"/>
              <w:rPr>
                <w:rFonts w:cs="Calibri"/>
                <w:szCs w:val="20"/>
              </w:rPr>
            </w:pPr>
            <w:r w:rsidRPr="00DA60F3">
              <w:rPr>
                <w:rFonts w:cs="Calibri"/>
                <w:szCs w:val="20"/>
              </w:rPr>
              <w:t>114,2</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FF2096" w:rsidRPr="00DA60F3" w:rsidRDefault="00FF2096" w:rsidP="00FF2096">
            <w:pPr>
              <w:jc w:val="right"/>
              <w:rPr>
                <w:rFonts w:cs="Calibri"/>
                <w:szCs w:val="20"/>
              </w:rPr>
            </w:pPr>
            <w:r w:rsidRPr="00DA60F3">
              <w:rPr>
                <w:rFonts w:cs="Calibri"/>
                <w:szCs w:val="20"/>
              </w:rPr>
              <w:t>151,2</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FF2096" w:rsidRPr="00DA60F3" w:rsidRDefault="00FF2096" w:rsidP="00FF2096">
            <w:pPr>
              <w:jc w:val="right"/>
              <w:rPr>
                <w:rFonts w:cs="Calibri"/>
                <w:szCs w:val="20"/>
              </w:rPr>
            </w:pPr>
            <w:r w:rsidRPr="00DA60F3">
              <w:rPr>
                <w:rFonts w:cs="Calibri"/>
                <w:szCs w:val="20"/>
              </w:rPr>
              <w:t>20,6</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FF2096" w:rsidRPr="00DA60F3" w:rsidRDefault="00FF2096" w:rsidP="00FF2096">
            <w:pPr>
              <w:jc w:val="right"/>
              <w:rPr>
                <w:rFonts w:cs="Calibri"/>
                <w:szCs w:val="20"/>
              </w:rPr>
            </w:pPr>
            <w:r w:rsidRPr="00DA60F3">
              <w:rPr>
                <w:rFonts w:cs="Calibri"/>
                <w:szCs w:val="20"/>
              </w:rPr>
              <w:t>7,3</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FF2096" w:rsidRPr="00DA60F3" w:rsidRDefault="00FF2096" w:rsidP="00FF2096">
            <w:pPr>
              <w:jc w:val="right"/>
              <w:rPr>
                <w:rFonts w:cs="Calibri"/>
                <w:szCs w:val="20"/>
              </w:rPr>
            </w:pPr>
            <w:r w:rsidRPr="00DA60F3">
              <w:rPr>
                <w:rFonts w:cs="Calibri"/>
                <w:szCs w:val="20"/>
              </w:rPr>
              <w:t>8,1</w:t>
            </w:r>
          </w:p>
        </w:tc>
      </w:tr>
      <w:tr w:rsidR="00FF2096" w:rsidRPr="00DA60F3"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center"/>
              <w:rPr>
                <w:rFonts w:cs="Calibri"/>
                <w:b/>
                <w:bCs/>
                <w:szCs w:val="20"/>
              </w:rPr>
            </w:pPr>
            <w:r w:rsidRPr="00DA60F3">
              <w:rPr>
                <w:rFonts w:cs="Calibri"/>
                <w:b/>
                <w:bCs/>
                <w:szCs w:val="20"/>
              </w:rPr>
              <w:t>2020</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169,1</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61,4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119,0</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150,9</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20,4</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7,0</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11,2</w:t>
            </w:r>
          </w:p>
        </w:tc>
      </w:tr>
      <w:tr w:rsidR="00FF2096" w:rsidRPr="00DA60F3" w:rsidTr="00FF2096">
        <w:tc>
          <w:tcPr>
            <w:tcW w:w="8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center"/>
              <w:rPr>
                <w:rFonts w:cs="Calibri"/>
                <w:b/>
                <w:bCs/>
                <w:szCs w:val="20"/>
              </w:rPr>
            </w:pPr>
            <w:r w:rsidRPr="00DA60F3">
              <w:rPr>
                <w:rFonts w:cs="Calibri"/>
                <w:b/>
                <w:bCs/>
                <w:szCs w:val="20"/>
              </w:rPr>
              <w:t>2021</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170,5</w:t>
            </w:r>
          </w:p>
        </w:tc>
        <w:tc>
          <w:tcPr>
            <w:tcW w:w="595"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61,4</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121,7</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150,5</w:t>
            </w:r>
          </w:p>
        </w:tc>
        <w:tc>
          <w:tcPr>
            <w:tcW w:w="578"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20,5</w:t>
            </w:r>
          </w:p>
        </w:tc>
        <w:tc>
          <w:tcPr>
            <w:tcW w:w="612"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w:t>
            </w:r>
          </w:p>
        </w:tc>
        <w:tc>
          <w:tcPr>
            <w:tcW w:w="610" w:type="pct"/>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tcPr>
          <w:p w:rsidR="00FF2096" w:rsidRPr="00DA60F3" w:rsidRDefault="00FF2096" w:rsidP="00FF2096">
            <w:pPr>
              <w:jc w:val="right"/>
              <w:rPr>
                <w:rFonts w:cs="Calibri"/>
                <w:szCs w:val="20"/>
              </w:rPr>
            </w:pPr>
            <w:r w:rsidRPr="00DA60F3">
              <w:rPr>
                <w:rFonts w:cs="Calibri"/>
                <w:szCs w:val="20"/>
              </w:rPr>
              <w:t>-</w:t>
            </w:r>
          </w:p>
        </w:tc>
      </w:tr>
    </w:tbl>
    <w:p w:rsidR="00FF2096" w:rsidRPr="00DA60F3" w:rsidRDefault="00FF2096" w:rsidP="00FF2096">
      <w:r w:rsidRPr="00DA60F3">
        <w:t xml:space="preserve">fonte </w:t>
      </w:r>
      <w:proofErr w:type="spellStart"/>
      <w:r w:rsidRPr="00DA60F3">
        <w:t>tuttitalia.it</w:t>
      </w:r>
      <w:proofErr w:type="spellEnd"/>
      <w:r w:rsidRPr="00DA60F3">
        <w:tab/>
      </w:r>
    </w:p>
    <w:p w:rsidR="002F067E" w:rsidRPr="009611C8" w:rsidRDefault="002F067E" w:rsidP="002F067E">
      <w:pPr>
        <w:spacing w:before="240"/>
        <w:rPr>
          <w:b/>
          <w:szCs w:val="20"/>
          <w:lang w:bidi="it-IT"/>
        </w:rPr>
      </w:pPr>
      <w:r w:rsidRPr="009611C8">
        <w:rPr>
          <w:b/>
          <w:szCs w:val="20"/>
          <w:lang w:bidi="it-IT"/>
        </w:rPr>
        <w:lastRenderedPageBreak/>
        <w:t>Glossario</w:t>
      </w:r>
    </w:p>
    <w:p w:rsidR="002F067E" w:rsidRPr="00187ED9" w:rsidRDefault="002F067E" w:rsidP="00187ED9">
      <w:pPr>
        <w:rPr>
          <w:b/>
        </w:rPr>
      </w:pPr>
      <w:r w:rsidRPr="00187ED9">
        <w:rPr>
          <w:b/>
        </w:rPr>
        <w:t>Indice di vecchiaia</w:t>
      </w:r>
    </w:p>
    <w:p w:rsidR="002F067E" w:rsidRPr="008D76A1" w:rsidRDefault="002F067E" w:rsidP="002F067E">
      <w:pPr>
        <w:rPr>
          <w:rFonts w:cs="Calibri"/>
          <w:szCs w:val="20"/>
        </w:rPr>
      </w:pPr>
      <w:r w:rsidRPr="008D76A1">
        <w:rPr>
          <w:rFonts w:cs="Calibri"/>
          <w:color w:val="333333"/>
          <w:szCs w:val="20"/>
          <w:shd w:val="clear" w:color="auto" w:fill="FFFFFF"/>
        </w:rPr>
        <w:t xml:space="preserve">Rappresenta il grado di invecchiamento di una popolazione. È il rapporto percentuale tra il numero degli </w:t>
      </w:r>
      <w:proofErr w:type="spellStart"/>
      <w:r w:rsidRPr="008D76A1">
        <w:rPr>
          <w:rFonts w:cs="Calibri"/>
          <w:color w:val="333333"/>
          <w:szCs w:val="20"/>
          <w:shd w:val="clear" w:color="auto" w:fill="FFFFFF"/>
        </w:rPr>
        <w:t>ultrassessantacinquenni</w:t>
      </w:r>
      <w:proofErr w:type="spellEnd"/>
      <w:r w:rsidRPr="008D76A1">
        <w:rPr>
          <w:rFonts w:cs="Calibri"/>
          <w:color w:val="333333"/>
          <w:szCs w:val="20"/>
          <w:shd w:val="clear" w:color="auto" w:fill="FFFFFF"/>
        </w:rPr>
        <w:t xml:space="preserve"> ed il numero dei giovani fino ai 14 anni.</w:t>
      </w:r>
    </w:p>
    <w:p w:rsidR="002F067E" w:rsidRPr="00187ED9" w:rsidRDefault="002F067E" w:rsidP="00187ED9">
      <w:pPr>
        <w:rPr>
          <w:b/>
        </w:rPr>
      </w:pPr>
      <w:r w:rsidRPr="00187ED9">
        <w:rPr>
          <w:b/>
        </w:rPr>
        <w:t>Indice di dipendenza strutturale</w:t>
      </w:r>
    </w:p>
    <w:p w:rsidR="002F067E" w:rsidRPr="008D76A1" w:rsidRDefault="002F067E" w:rsidP="002F067E">
      <w:pPr>
        <w:rPr>
          <w:rFonts w:cs="Calibri"/>
          <w:szCs w:val="20"/>
        </w:rPr>
      </w:pPr>
      <w:r w:rsidRPr="008D76A1">
        <w:rPr>
          <w:rFonts w:cs="Calibri"/>
          <w:color w:val="333333"/>
          <w:szCs w:val="20"/>
          <w:shd w:val="clear" w:color="auto" w:fill="FFFFFF"/>
        </w:rPr>
        <w:t>Rappresenta il carico sociale ed economico della popolazione non attiva (0-14 anni e 65 anni ed oltre) su quella attiva (15-64 anni). </w:t>
      </w:r>
    </w:p>
    <w:p w:rsidR="002F067E" w:rsidRPr="00187ED9" w:rsidRDefault="002F067E" w:rsidP="00187ED9">
      <w:pPr>
        <w:rPr>
          <w:b/>
        </w:rPr>
      </w:pPr>
      <w:r w:rsidRPr="00187ED9">
        <w:rPr>
          <w:b/>
        </w:rPr>
        <w:t>Indice di ricambio della popolazione attiva</w:t>
      </w:r>
    </w:p>
    <w:p w:rsidR="002F067E" w:rsidRPr="008D76A1" w:rsidRDefault="002F067E" w:rsidP="002F067E">
      <w:pPr>
        <w:rPr>
          <w:rFonts w:cs="Calibri"/>
          <w:szCs w:val="20"/>
        </w:rPr>
      </w:pPr>
      <w:r w:rsidRPr="008D76A1">
        <w:rPr>
          <w:rFonts w:cs="Calibri"/>
          <w:color w:val="333333"/>
          <w:szCs w:val="20"/>
          <w:shd w:val="clear" w:color="auto" w:fill="FFFFFF"/>
        </w:rPr>
        <w:t>Rappresenta il rapporto percentuale tra la fascia di popolazione che sta per andare in pensione (60-64 anni) e quella che sta per entrare nel mondo del lavoro (15-19 anni). La popolazione attiva è tanto più giovane quanto più l'indicatore è minore di 100. </w:t>
      </w:r>
    </w:p>
    <w:p w:rsidR="002F067E" w:rsidRPr="00187ED9" w:rsidRDefault="002F067E" w:rsidP="00187ED9">
      <w:pPr>
        <w:rPr>
          <w:b/>
        </w:rPr>
      </w:pPr>
      <w:r w:rsidRPr="00187ED9">
        <w:rPr>
          <w:b/>
        </w:rPr>
        <w:t>Indice di struttura della popolazione attiva</w:t>
      </w:r>
    </w:p>
    <w:p w:rsidR="002F067E" w:rsidRPr="008D76A1" w:rsidRDefault="002F067E" w:rsidP="002F067E">
      <w:pPr>
        <w:rPr>
          <w:rFonts w:cs="Calibri"/>
          <w:szCs w:val="20"/>
        </w:rPr>
      </w:pPr>
      <w:r w:rsidRPr="008D76A1">
        <w:rPr>
          <w:rFonts w:cs="Calibri"/>
          <w:color w:val="333333"/>
          <w:szCs w:val="20"/>
          <w:shd w:val="clear" w:color="auto" w:fill="FFFFFF"/>
        </w:rPr>
        <w:t>Rappresenta il grado di invecchiamento della popolazione in età lavorativa. È il rapporto percentuale tra la parte di popolazione in età lavorativa più anziana (40-64 anni) e quella più giovane (15-39 anni).</w:t>
      </w:r>
    </w:p>
    <w:p w:rsidR="002F067E" w:rsidRPr="00187ED9" w:rsidRDefault="002F067E" w:rsidP="00187ED9">
      <w:pPr>
        <w:rPr>
          <w:b/>
        </w:rPr>
      </w:pPr>
      <w:r w:rsidRPr="00187ED9">
        <w:rPr>
          <w:b/>
        </w:rPr>
        <w:t>Carico di figli per donna feconda</w:t>
      </w:r>
    </w:p>
    <w:p w:rsidR="002F067E" w:rsidRPr="008D76A1" w:rsidRDefault="002F067E" w:rsidP="002F067E">
      <w:pPr>
        <w:rPr>
          <w:rFonts w:cs="Calibri"/>
          <w:szCs w:val="20"/>
        </w:rPr>
      </w:pPr>
      <w:r w:rsidRPr="008D76A1">
        <w:rPr>
          <w:rFonts w:cs="Calibri"/>
          <w:color w:val="333333"/>
          <w:szCs w:val="20"/>
          <w:shd w:val="clear" w:color="auto" w:fill="FFFFFF"/>
        </w:rPr>
        <w:t>È il rapporto percentuale tra il numero dei bambini fino a 4 anni ed il numero di donne in età feconda (15-49 anni). Stima il carico dei figli in età prescolare per le mamme lavoratrici.</w:t>
      </w:r>
    </w:p>
    <w:p w:rsidR="002F067E" w:rsidRPr="00187ED9" w:rsidRDefault="002F067E" w:rsidP="00187ED9">
      <w:pPr>
        <w:rPr>
          <w:b/>
        </w:rPr>
      </w:pPr>
      <w:r w:rsidRPr="00187ED9">
        <w:rPr>
          <w:b/>
        </w:rPr>
        <w:t>Indice di natalità</w:t>
      </w:r>
    </w:p>
    <w:p w:rsidR="002F067E" w:rsidRPr="008D76A1" w:rsidRDefault="002F067E" w:rsidP="002F067E">
      <w:pPr>
        <w:rPr>
          <w:rFonts w:cs="Calibri"/>
          <w:szCs w:val="20"/>
        </w:rPr>
      </w:pPr>
      <w:r w:rsidRPr="008D76A1">
        <w:rPr>
          <w:rFonts w:cs="Calibri"/>
          <w:color w:val="333333"/>
          <w:szCs w:val="20"/>
          <w:shd w:val="clear" w:color="auto" w:fill="FFFFFF"/>
        </w:rPr>
        <w:t>Rappresenta il numero medio di nascite in un anno ogni mille abitanti.</w:t>
      </w:r>
    </w:p>
    <w:p w:rsidR="002F067E" w:rsidRPr="00187ED9" w:rsidRDefault="002F067E" w:rsidP="00187ED9">
      <w:pPr>
        <w:rPr>
          <w:b/>
        </w:rPr>
      </w:pPr>
      <w:r w:rsidRPr="00187ED9">
        <w:rPr>
          <w:b/>
        </w:rPr>
        <w:t>Indice di mortalità</w:t>
      </w:r>
    </w:p>
    <w:p w:rsidR="002F067E" w:rsidRPr="008D76A1" w:rsidRDefault="002F067E" w:rsidP="002F067E">
      <w:pPr>
        <w:rPr>
          <w:rFonts w:cs="Calibri"/>
          <w:szCs w:val="20"/>
        </w:rPr>
      </w:pPr>
      <w:r w:rsidRPr="008D76A1">
        <w:rPr>
          <w:rFonts w:cs="Calibri"/>
          <w:color w:val="333333"/>
          <w:szCs w:val="20"/>
          <w:shd w:val="clear" w:color="auto" w:fill="FFFFFF"/>
        </w:rPr>
        <w:t>Rappresenta il numero medio di decessi in un anno ogni mille abitanti.</w:t>
      </w:r>
    </w:p>
    <w:p w:rsidR="002F067E" w:rsidRPr="00187ED9" w:rsidRDefault="002F067E" w:rsidP="00187ED9">
      <w:pPr>
        <w:rPr>
          <w:b/>
        </w:rPr>
      </w:pPr>
      <w:r w:rsidRPr="00187ED9">
        <w:rPr>
          <w:b/>
        </w:rPr>
        <w:t>Età media</w:t>
      </w:r>
    </w:p>
    <w:p w:rsidR="002F067E" w:rsidRPr="008D76A1" w:rsidRDefault="002F067E" w:rsidP="002F067E">
      <w:pPr>
        <w:rPr>
          <w:rFonts w:cs="Calibri"/>
          <w:i/>
          <w:szCs w:val="20"/>
        </w:rPr>
      </w:pPr>
      <w:r w:rsidRPr="008D76A1">
        <w:rPr>
          <w:rFonts w:cs="Calibri"/>
          <w:color w:val="333333"/>
          <w:szCs w:val="20"/>
          <w:shd w:val="clear" w:color="auto" w:fill="FFFFFF"/>
        </w:rPr>
        <w:t>È la media delle età di una popolazione, calcolata come il rapporto tra la somma delle età di tutti gli individui e il numero della popolazione residente. Da non confondere con l'aspettativa di vita di una popolazione.</w:t>
      </w:r>
    </w:p>
    <w:p w:rsidR="008E5B41" w:rsidRDefault="008E5B41" w:rsidP="002F067E">
      <w:pPr>
        <w:rPr>
          <w:rFonts w:cs="Tahoma"/>
          <w:szCs w:val="20"/>
        </w:rPr>
      </w:pPr>
    </w:p>
    <w:p w:rsidR="008E5B41" w:rsidRDefault="008E5B41" w:rsidP="002F067E">
      <w:pPr>
        <w:rPr>
          <w:rFonts w:cs="Tahoma"/>
          <w:szCs w:val="20"/>
        </w:rPr>
      </w:pPr>
      <w:r w:rsidRPr="008E5B41">
        <w:rPr>
          <w:rFonts w:cs="Tahoma"/>
          <w:szCs w:val="20"/>
        </w:rPr>
        <w:t>INDICATORI DA FONTI UFFICIALI (INTERNE O ESTERNE) RIGUARDANTI LE PRINCIPALI VARIABILI SOCIO-TERRITORIALI E I DATI RELATIVI A PROCEDIMENTI GIUDIZIARI, QUALI AD ESEMPIO LE RELAZIONI PERIODICHE SULLO STATO DELL’ORDINE E DELLA SICUREZZA PUBBLICA PRESENTATE AL PARLAMENTO DAL MINISTERO DELL’INTERNO E PUBBLICATE SUL SITO DELLA CAMERA DEI DEPUTATI E LE RELAZIONI DELLA POLIZIA LOCALE.</w:t>
      </w:r>
    </w:p>
    <w:p w:rsidR="002F067E" w:rsidRDefault="008C12C8" w:rsidP="002F067E">
      <w:pPr>
        <w:rPr>
          <w:rFonts w:cs="Tahoma"/>
          <w:szCs w:val="20"/>
        </w:rPr>
      </w:pPr>
      <w:r>
        <w:rPr>
          <w:rFonts w:cs="Tahoma"/>
          <w:szCs w:val="20"/>
        </w:rPr>
        <w:t>A</w:t>
      </w:r>
      <w:r w:rsidR="002F067E" w:rsidRPr="009611C8">
        <w:rPr>
          <w:rFonts w:cs="Tahoma"/>
          <w:szCs w:val="20"/>
        </w:rPr>
        <w:t xml:space="preserve">i fini dell'analisi del contesto esterno, </w:t>
      </w:r>
      <w:r>
        <w:rPr>
          <w:rFonts w:cs="Tahoma"/>
          <w:szCs w:val="20"/>
        </w:rPr>
        <w:t>si</w:t>
      </w:r>
      <w:r w:rsidR="002F067E" w:rsidRPr="009611C8">
        <w:rPr>
          <w:rFonts w:cs="Tahoma"/>
          <w:szCs w:val="20"/>
        </w:rPr>
        <w:t xml:space="preserve"> riportati gli elementi e i dati contenuti nelle relazioni periodiche sullo stato dell'ordine e della sicurezza pubblica, presentate al Parlamento dal Ministero dell'Interno e pubblicate sul sito della Camera dei Deputati.</w:t>
      </w:r>
    </w:p>
    <w:p w:rsidR="008C12C8" w:rsidRDefault="008C12C8" w:rsidP="008C12C8">
      <w:pPr>
        <w:rPr>
          <w:lang w:bidi="it-IT"/>
        </w:rPr>
      </w:pPr>
      <w:r>
        <w:rPr>
          <w:lang w:bidi="it-IT"/>
        </w:rPr>
        <w:t xml:space="preserve">Dall’esame dei suddetti documenti parlamentari è emersa da tempo l’esistenza nel milanese di storiche componenti della criminalità mafiosa tradizionale, soprattutto di matrice calabrese, ma anche siciliana, campana e, solo marginalmente, pugliese che, saldamente connesse con le rispettive regioni di appartenenza, hanno dimostrato di saper sfruttare le opportunità offerte dal territorio per svilupparvi dinamiche criminali legate all’ integrazione con l’economia legale. Il benessere di quest’ area, che trova riscontro in un’elevata concentrazione di attività imprenditoriali, costituisce difatti oggetto di attenzione da parte della criminalità organizzata, che ha saputo insinuarsi in diversi settori (edilizia e movimento terra, servizi logistici e trasporti, immobiliare e finanziario, commerciale, della grande distribuzione, </w:t>
      </w:r>
      <w:r>
        <w:rPr>
          <w:lang w:bidi="it-IT"/>
        </w:rPr>
        <w:lastRenderedPageBreak/>
        <w:t xml:space="preserve">energetico, della ristorazione e </w:t>
      </w:r>
      <w:proofErr w:type="spellStart"/>
      <w:r>
        <w:rPr>
          <w:lang w:bidi="it-IT"/>
        </w:rPr>
        <w:t>turistico-alberghiero</w:t>
      </w:r>
      <w:proofErr w:type="spellEnd"/>
      <w:r>
        <w:rPr>
          <w:lang w:bidi="it-IT"/>
        </w:rPr>
        <w:t>, delle cooperative, dell’ intrattenimento ecc..) con effetti di alterazione della libera concorrenza e del mercato. Fattori di criticità si rilevano in ordine al rilevato (in particolare in riferimento alla ‘Ndrangheta) progressivo consolidamento d’interazioni fra organizzazioni mafiose di nuova generazione e segmenti della P.A. e della politica, che manifestano l’orientamento della struttura criminale verso un profilo economico-imprenditoriale ed il condizionamento dell’apparato amministrativo, in relazione alla gestione di affari apparentemente leciti e il reinvestimento (riciclaggio) dei relativi proventi.</w:t>
      </w:r>
    </w:p>
    <w:p w:rsidR="009473EA" w:rsidRDefault="008C12C8" w:rsidP="008C12C8">
      <w:pPr>
        <w:rPr>
          <w:lang w:bidi="it-IT"/>
        </w:rPr>
      </w:pPr>
      <w:r>
        <w:rPr>
          <w:lang w:bidi="it-IT"/>
        </w:rPr>
        <w:t>Come evidenziato anche dalla stampa nazionale e locale, il territorio non è esente da fenomeni corruttivi e da casi di criminalità organizzata.</w:t>
      </w:r>
    </w:p>
    <w:p w:rsidR="00FF2096" w:rsidRDefault="00FF2096" w:rsidP="00FF2096">
      <w:pPr>
        <w:rPr>
          <w:rFonts w:cstheme="minorHAnsi"/>
          <w:color w:val="C00000"/>
          <w:szCs w:val="20"/>
        </w:rPr>
      </w:pPr>
    </w:p>
    <w:p w:rsidR="00FF2096" w:rsidRPr="00DA60F3" w:rsidRDefault="00FF2096" w:rsidP="00FF2096">
      <w:pPr>
        <w:rPr>
          <w:rFonts w:cstheme="minorHAnsi"/>
          <w:szCs w:val="20"/>
        </w:rPr>
      </w:pPr>
      <w:r w:rsidRPr="00DA60F3">
        <w:rPr>
          <w:rFonts w:cstheme="minorHAnsi"/>
          <w:szCs w:val="20"/>
        </w:rPr>
        <w:t xml:space="preserve">INDICE </w:t>
      </w:r>
      <w:proofErr w:type="spellStart"/>
      <w:r w:rsidRPr="00DA60F3">
        <w:rPr>
          <w:rFonts w:cstheme="minorHAnsi"/>
          <w:szCs w:val="20"/>
        </w:rPr>
        <w:t>DI</w:t>
      </w:r>
      <w:proofErr w:type="spellEnd"/>
      <w:r w:rsidRPr="00DA60F3">
        <w:rPr>
          <w:rFonts w:cstheme="minorHAnsi"/>
          <w:szCs w:val="20"/>
        </w:rPr>
        <w:t xml:space="preserve"> PERCEZIONE DELLA CORRUZIONE 2021</w:t>
      </w:r>
    </w:p>
    <w:p w:rsidR="00FF2096" w:rsidRPr="00DA60F3" w:rsidRDefault="00FF2096" w:rsidP="00FF2096">
      <w:pPr>
        <w:rPr>
          <w:rFonts w:cstheme="minorHAnsi"/>
          <w:szCs w:val="20"/>
        </w:rPr>
      </w:pPr>
      <w:r w:rsidRPr="00DA60F3">
        <w:rPr>
          <w:rFonts w:cstheme="minorHAnsi"/>
          <w:szCs w:val="20"/>
        </w:rPr>
        <w:t xml:space="preserve">L’indice di Percezione della Corruzione (CPI) di </w:t>
      </w:r>
      <w:proofErr w:type="spellStart"/>
      <w:r w:rsidRPr="00DA60F3">
        <w:rPr>
          <w:rFonts w:cstheme="minorHAnsi"/>
          <w:szCs w:val="20"/>
        </w:rPr>
        <w:t>Transparency</w:t>
      </w:r>
      <w:proofErr w:type="spellEnd"/>
      <w:r w:rsidRPr="00DA60F3">
        <w:rPr>
          <w:rFonts w:cstheme="minorHAnsi"/>
          <w:szCs w:val="20"/>
        </w:rPr>
        <w:t xml:space="preserve"> International misura la percezione della corruzione nel settore pubblico e nella politica in numerosi Paesi di tutto il mondo. Lo fa basandosi sull’opinione di esperti e assegnando una valutazione che va da 0, per i Paesi ritenuti molto corrotti, a 100, per quelli “puliti”. La metodologia cambia ogni anno per riuscire a dare uno spaccato sempre più attendibile delle realtà locali.</w:t>
      </w:r>
    </w:p>
    <w:p w:rsidR="00FF2096" w:rsidRPr="00DA60F3" w:rsidRDefault="00FF2096" w:rsidP="00FF2096">
      <w:pPr>
        <w:rPr>
          <w:rFonts w:cstheme="minorHAnsi"/>
          <w:szCs w:val="20"/>
        </w:rPr>
      </w:pPr>
      <w:r w:rsidRPr="00DA60F3">
        <w:rPr>
          <w:rFonts w:cstheme="minorHAnsi"/>
          <w:szCs w:val="20"/>
        </w:rPr>
        <w:t xml:space="preserve">Il progresso dell’Italia evidenziato nell’edizione 2021 del CPI, in linea con il costante miglioramento dal 2012 ad oggi, è il risultato della crescente attenzione dedicata al problema della corruzione nell’ultimo decennio e fa ben sperare per la ripresa economica del Paese dopo la crisi generata dalla pandemia.  </w:t>
      </w:r>
    </w:p>
    <w:p w:rsidR="00FF2096" w:rsidRPr="00DA60F3" w:rsidRDefault="00FF2096" w:rsidP="00FF2096">
      <w:pPr>
        <w:rPr>
          <w:rFonts w:cstheme="minorHAnsi"/>
          <w:szCs w:val="20"/>
        </w:rPr>
      </w:pPr>
      <w:r w:rsidRPr="00DA60F3">
        <w:rPr>
          <w:rFonts w:cstheme="minorHAnsi"/>
          <w:szCs w:val="20"/>
        </w:rPr>
        <w:t xml:space="preserve">A livello globale, Danimarca e Nuova Zelanda rimangono al vertice della classifica, affiancati quest’anno anche dalla Finlandia, con 88 punti. In fondo alla classifica, come lo scorso anno, Siria, Somalia e Sud Sudan, con un punteggio, rispettivamente, di 13 per i primi due e di 11 per la terza. </w:t>
      </w:r>
    </w:p>
    <w:p w:rsidR="00FF2096" w:rsidRPr="00DA60F3" w:rsidRDefault="00FF2096" w:rsidP="00FF2096">
      <w:pPr>
        <w:rPr>
          <w:rFonts w:cstheme="minorHAnsi"/>
          <w:szCs w:val="20"/>
        </w:rPr>
      </w:pPr>
      <w:r w:rsidRPr="00DA60F3">
        <w:rPr>
          <w:rFonts w:cstheme="minorHAnsi"/>
          <w:szCs w:val="20"/>
        </w:rPr>
        <w:t>Tuttavia, dal 2012 al 2021, ben 154 Paesi non hanno compiuto progressi significativi o hanno peggiorato il loro punteggio, e in quest’ultimo anno 2/3 dei Paesi analizzati (123 su 180) presentano ancora importanti problemi di corruzione, avendo conseguito un punteggio inferiore a 50, ed evidenziano un forte rischio di arretramento nella tutela dei diritti umani, nella libertà di espressione e di una crisi della democrazia. </w:t>
      </w:r>
    </w:p>
    <w:p w:rsidR="00FF2096" w:rsidRPr="00DA60F3" w:rsidRDefault="00FF2096" w:rsidP="00FF2096">
      <w:pPr>
        <w:rPr>
          <w:rFonts w:cstheme="minorHAnsi"/>
          <w:szCs w:val="20"/>
        </w:rPr>
      </w:pPr>
      <w:r w:rsidRPr="00DA60F3">
        <w:rPr>
          <w:rFonts w:cstheme="minorHAnsi"/>
          <w:szCs w:val="20"/>
        </w:rPr>
        <w:t>L’Italia che cresce e le sfide da portare ancora avanti: la fase di rilancio del Paese richiede la massima attenzione alla prevenzione dei rischi di corruzione, affinché gli impegni presi per la digitalizzazione, l’innovazione, la transizione ecologica, la sanità e le infrastrutture possano trovare piena realizzazione. </w:t>
      </w:r>
    </w:p>
    <w:p w:rsidR="00FF2096" w:rsidRPr="00FF2096" w:rsidRDefault="00FF2096" w:rsidP="00FF2096">
      <w:pPr>
        <w:spacing w:after="240"/>
        <w:rPr>
          <w:rFonts w:cstheme="minorHAnsi"/>
          <w:color w:val="C00000"/>
          <w:szCs w:val="20"/>
        </w:rPr>
      </w:pPr>
      <w:r w:rsidRPr="00FF2096">
        <w:rPr>
          <w:noProof/>
          <w:color w:val="C00000"/>
        </w:rPr>
        <w:drawing>
          <wp:inline distT="0" distB="0" distL="0" distR="0">
            <wp:extent cx="6263640" cy="2318385"/>
            <wp:effectExtent l="0" t="0" r="381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263640" cy="2318385"/>
                    </a:xfrm>
                    <a:prstGeom prst="rect">
                      <a:avLst/>
                    </a:prstGeom>
                  </pic:spPr>
                </pic:pic>
              </a:graphicData>
            </a:graphic>
          </wp:inline>
        </w:drawing>
      </w:r>
    </w:p>
    <w:p w:rsidR="00FF2096" w:rsidRPr="00B67FEC" w:rsidRDefault="00FF2096" w:rsidP="008C12C8">
      <w:pPr>
        <w:rPr>
          <w:rFonts w:cs="Calibri"/>
          <w:szCs w:val="20"/>
        </w:rPr>
      </w:pPr>
    </w:p>
    <w:p w:rsidR="00D57C01" w:rsidRPr="00DA60F3" w:rsidRDefault="00BF3278" w:rsidP="00DA60F3">
      <w:pPr>
        <w:spacing w:line="240" w:lineRule="auto"/>
        <w:jc w:val="left"/>
        <w:rPr>
          <w:rFonts w:ascii="Verdana" w:hAnsi="Verdana" w:cs="Calibri"/>
          <w:b/>
          <w:bCs/>
          <w:kern w:val="32"/>
          <w:sz w:val="28"/>
          <w:szCs w:val="32"/>
        </w:rPr>
      </w:pPr>
      <w:bookmarkStart w:id="87" w:name="_Toc28881628"/>
      <w:bookmarkStart w:id="88" w:name="_Toc28966884"/>
      <w:bookmarkStart w:id="89" w:name="_Toc28967104"/>
      <w:bookmarkStart w:id="90" w:name="_Toc28967357"/>
      <w:bookmarkStart w:id="91" w:name="_Toc101602019"/>
      <w:r w:rsidRPr="00B67FEC">
        <w:rPr>
          <w:rFonts w:cs="Calibri"/>
        </w:rPr>
        <w:lastRenderedPageBreak/>
        <w:t>G. ANALISI DEL CONTESTO INTERNO</w:t>
      </w:r>
      <w:bookmarkEnd w:id="87"/>
      <w:bookmarkEnd w:id="88"/>
      <w:bookmarkEnd w:id="89"/>
      <w:bookmarkEnd w:id="90"/>
      <w:bookmarkEnd w:id="91"/>
    </w:p>
    <w:p w:rsidR="00B25C4E" w:rsidRPr="007E21E7" w:rsidRDefault="00C14059" w:rsidP="00B25C4E">
      <w:pPr>
        <w:rPr>
          <w:rFonts w:cs="Calibri"/>
          <w:szCs w:val="20"/>
        </w:rPr>
      </w:pPr>
      <w:r w:rsidRPr="00B67FEC">
        <w:rPr>
          <w:rFonts w:cs="Calibri"/>
          <w:szCs w:val="20"/>
        </w:rPr>
        <w:t xml:space="preserve">Con riferimento al contesto interno di </w:t>
      </w:r>
      <w:r w:rsidR="00EC0950">
        <w:rPr>
          <w:rFonts w:cs="Calibri"/>
          <w:szCs w:val="20"/>
        </w:rPr>
        <w:t>Segrate Servizi Srl</w:t>
      </w:r>
      <w:r w:rsidRPr="00B67FEC">
        <w:rPr>
          <w:rFonts w:cs="Calibri"/>
          <w:szCs w:val="20"/>
        </w:rPr>
        <w:t xml:space="preserve"> si può rilevare un equilibrato e bilanciato ruolo dei diversi organi e dei livelli di indirizzo gestionali, compatibilmente alla struttura organizzativa ridotta.</w:t>
      </w:r>
      <w:bookmarkStart w:id="92" w:name="_Toc535948039"/>
      <w:bookmarkStart w:id="93" w:name="_Toc535948097"/>
      <w:bookmarkStart w:id="94" w:name="_Toc535948040"/>
      <w:bookmarkStart w:id="95" w:name="_Toc535948098"/>
      <w:bookmarkEnd w:id="92"/>
      <w:bookmarkEnd w:id="93"/>
      <w:bookmarkEnd w:id="94"/>
      <w:bookmarkEnd w:id="95"/>
    </w:p>
    <w:p w:rsidR="006C1A37" w:rsidRDefault="006C1A37" w:rsidP="00B25C4E">
      <w:pPr>
        <w:rPr>
          <w:rFonts w:cs="Calibri"/>
          <w:b/>
          <w:szCs w:val="20"/>
        </w:rPr>
      </w:pPr>
    </w:p>
    <w:p w:rsidR="0088239C" w:rsidRDefault="0088239C" w:rsidP="00B25C4E">
      <w:pPr>
        <w:rPr>
          <w:rFonts w:cs="Calibri"/>
          <w:b/>
          <w:szCs w:val="20"/>
        </w:rPr>
      </w:pPr>
      <w:r>
        <w:rPr>
          <w:rFonts w:cs="Calibri"/>
          <w:b/>
          <w:noProof/>
          <w:szCs w:val="20"/>
        </w:rPr>
        <w:drawing>
          <wp:inline distT="0" distB="0" distL="0" distR="0">
            <wp:extent cx="6263640" cy="4171950"/>
            <wp:effectExtent l="19050" t="0" r="3810" b="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srcRect/>
                    <a:stretch>
                      <a:fillRect/>
                    </a:stretch>
                  </pic:blipFill>
                  <pic:spPr bwMode="auto">
                    <a:xfrm>
                      <a:off x="0" y="0"/>
                      <a:ext cx="6263640" cy="4171950"/>
                    </a:xfrm>
                    <a:prstGeom prst="rect">
                      <a:avLst/>
                    </a:prstGeom>
                    <a:noFill/>
                    <a:ln w="9525">
                      <a:noFill/>
                      <a:miter lim="800000"/>
                      <a:headEnd/>
                      <a:tailEnd/>
                    </a:ln>
                  </pic:spPr>
                </pic:pic>
              </a:graphicData>
            </a:graphic>
          </wp:inline>
        </w:drawing>
      </w:r>
    </w:p>
    <w:p w:rsidR="0088239C" w:rsidRDefault="0088239C" w:rsidP="00B25C4E">
      <w:pPr>
        <w:rPr>
          <w:rFonts w:cs="Calibri"/>
          <w:b/>
          <w:szCs w:val="20"/>
        </w:rPr>
      </w:pPr>
    </w:p>
    <w:p w:rsidR="0088239C" w:rsidRDefault="0088239C" w:rsidP="00B25C4E">
      <w:pPr>
        <w:rPr>
          <w:rFonts w:cs="Calibri"/>
          <w:b/>
          <w:szCs w:val="20"/>
        </w:rPr>
      </w:pPr>
    </w:p>
    <w:p w:rsidR="0088239C" w:rsidRDefault="0088239C" w:rsidP="00B25C4E">
      <w:pPr>
        <w:rPr>
          <w:rFonts w:cs="Calibri"/>
          <w:b/>
          <w:szCs w:val="20"/>
        </w:rPr>
      </w:pPr>
    </w:p>
    <w:p w:rsidR="0088239C" w:rsidRPr="00B67FEC" w:rsidRDefault="0088239C" w:rsidP="00B25C4E">
      <w:pPr>
        <w:rPr>
          <w:rFonts w:cs="Calibri"/>
          <w:szCs w:val="20"/>
        </w:rPr>
      </w:pPr>
    </w:p>
    <w:p w:rsidR="00D857F5" w:rsidRDefault="00D857F5" w:rsidP="00DA60F3">
      <w:pPr>
        <w:spacing w:line="240" w:lineRule="auto"/>
        <w:jc w:val="left"/>
        <w:rPr>
          <w:rFonts w:cs="Calibri"/>
          <w:szCs w:val="20"/>
        </w:rPr>
      </w:pPr>
    </w:p>
    <w:p w:rsidR="00D857F5" w:rsidRDefault="00D857F5" w:rsidP="00DA60F3">
      <w:pPr>
        <w:spacing w:line="240" w:lineRule="auto"/>
        <w:jc w:val="left"/>
        <w:rPr>
          <w:rFonts w:cs="Calibri"/>
          <w:szCs w:val="20"/>
        </w:rPr>
      </w:pPr>
    </w:p>
    <w:p w:rsidR="00D857F5" w:rsidRDefault="00D857F5" w:rsidP="00DA60F3">
      <w:pPr>
        <w:spacing w:line="240" w:lineRule="auto"/>
        <w:jc w:val="left"/>
        <w:rPr>
          <w:rFonts w:cs="Calibri"/>
          <w:szCs w:val="20"/>
        </w:rPr>
      </w:pPr>
    </w:p>
    <w:p w:rsidR="00D857F5" w:rsidRDefault="00D857F5" w:rsidP="00DA60F3">
      <w:pPr>
        <w:spacing w:line="240" w:lineRule="auto"/>
        <w:jc w:val="left"/>
        <w:rPr>
          <w:rFonts w:cs="Calibri"/>
          <w:szCs w:val="20"/>
        </w:rPr>
      </w:pPr>
    </w:p>
    <w:p w:rsidR="00D857F5" w:rsidRDefault="00D857F5" w:rsidP="00DA60F3">
      <w:pPr>
        <w:spacing w:line="240" w:lineRule="auto"/>
        <w:jc w:val="left"/>
        <w:rPr>
          <w:rFonts w:cs="Calibri"/>
          <w:szCs w:val="20"/>
        </w:rPr>
      </w:pPr>
    </w:p>
    <w:p w:rsidR="00D857F5" w:rsidRDefault="00D857F5" w:rsidP="00DA60F3">
      <w:pPr>
        <w:spacing w:line="240" w:lineRule="auto"/>
        <w:jc w:val="left"/>
        <w:rPr>
          <w:rFonts w:cs="Calibri"/>
          <w:szCs w:val="20"/>
        </w:rPr>
      </w:pPr>
    </w:p>
    <w:p w:rsidR="0088239C" w:rsidRDefault="0088239C">
      <w:pPr>
        <w:spacing w:line="240" w:lineRule="auto"/>
        <w:jc w:val="left"/>
        <w:rPr>
          <w:rFonts w:cs="Calibri"/>
          <w:szCs w:val="20"/>
        </w:rPr>
      </w:pPr>
      <w:r>
        <w:rPr>
          <w:rFonts w:cs="Calibri"/>
          <w:szCs w:val="20"/>
        </w:rPr>
        <w:br w:type="page"/>
      </w:r>
    </w:p>
    <w:p w:rsidR="00A87A16" w:rsidRPr="0088239C" w:rsidRDefault="00D857F5" w:rsidP="00DA60F3">
      <w:pPr>
        <w:spacing w:line="240" w:lineRule="auto"/>
        <w:jc w:val="left"/>
        <w:rPr>
          <w:rFonts w:cs="Calibri"/>
          <w:sz w:val="24"/>
        </w:rPr>
      </w:pPr>
      <w:r w:rsidRPr="0088239C">
        <w:rPr>
          <w:rFonts w:cs="Calibri"/>
          <w:sz w:val="24"/>
        </w:rPr>
        <w:lastRenderedPageBreak/>
        <w:t>I d</w:t>
      </w:r>
      <w:r w:rsidR="00B25C4E" w:rsidRPr="0088239C">
        <w:rPr>
          <w:rFonts w:cs="Calibri"/>
          <w:sz w:val="24"/>
        </w:rPr>
        <w:t>ati generali</w:t>
      </w:r>
      <w:r w:rsidRPr="0088239C">
        <w:rPr>
          <w:rFonts w:cs="Calibri"/>
          <w:sz w:val="24"/>
        </w:rPr>
        <w:t xml:space="preserve"> che seguono sono</w:t>
      </w:r>
      <w:r w:rsidR="00B25C4E" w:rsidRPr="0088239C">
        <w:rPr>
          <w:rFonts w:cs="Calibri"/>
          <w:sz w:val="24"/>
        </w:rPr>
        <w:t xml:space="preserve"> rilevati dalla </w:t>
      </w:r>
      <w:r w:rsidR="00A87A16" w:rsidRPr="0088239C">
        <w:rPr>
          <w:rFonts w:cs="Calibri"/>
          <w:sz w:val="24"/>
          <w:u w:val="single"/>
        </w:rPr>
        <w:t>Delibera di Consiglio n.74 del 20/12/2021 - Revisione ordinaria delle partecipazioni societarie detenute al 31/12/2020 dal Comune di Segrate ai sensi dell’art. 20 del D.lgs.175/2016.</w:t>
      </w:r>
    </w:p>
    <w:p w:rsidR="00B25C4E" w:rsidRDefault="00B25C4E" w:rsidP="00B25C4E">
      <w:pPr>
        <w:rPr>
          <w:rFonts w:cs="Calibri"/>
          <w:szCs w:val="20"/>
        </w:rPr>
      </w:pPr>
    </w:p>
    <w:p w:rsidR="008C12C8" w:rsidRDefault="008C12C8" w:rsidP="00B25C4E">
      <w:pPr>
        <w:rPr>
          <w:rFonts w:cs="Calibri"/>
          <w:szCs w:val="20"/>
        </w:rPr>
      </w:pPr>
    </w:p>
    <w:p w:rsidR="00A87A16" w:rsidRDefault="00D230D2" w:rsidP="00B25C4E">
      <w:pPr>
        <w:rPr>
          <w:rFonts w:cs="Calibri"/>
          <w:szCs w:val="20"/>
        </w:rPr>
      </w:pPr>
      <w:r>
        <w:rPr>
          <w:noProof/>
        </w:rPr>
        <w:drawing>
          <wp:inline distT="0" distB="0" distL="0" distR="0">
            <wp:extent cx="6263640" cy="3401695"/>
            <wp:effectExtent l="0" t="0" r="381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263640" cy="3401695"/>
                    </a:xfrm>
                    <a:prstGeom prst="rect">
                      <a:avLst/>
                    </a:prstGeom>
                  </pic:spPr>
                </pic:pic>
              </a:graphicData>
            </a:graphic>
          </wp:inline>
        </w:drawing>
      </w:r>
    </w:p>
    <w:p w:rsidR="00C11A77" w:rsidRDefault="00C11A77" w:rsidP="008C12C8">
      <w:pPr>
        <w:rPr>
          <w:noProof/>
        </w:rPr>
      </w:pPr>
    </w:p>
    <w:p w:rsidR="00C11A77" w:rsidRDefault="00D230D2" w:rsidP="008C12C8">
      <w:pPr>
        <w:rPr>
          <w:noProof/>
        </w:rPr>
      </w:pPr>
      <w:r>
        <w:rPr>
          <w:noProof/>
        </w:rPr>
        <w:drawing>
          <wp:inline distT="0" distB="0" distL="0" distR="0">
            <wp:extent cx="6263640" cy="3081020"/>
            <wp:effectExtent l="0" t="0" r="3810" b="5080"/>
            <wp:docPr id="9" name="Immagine 9"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avolo&#10;&#10;Descrizione generata automaticamente"/>
                    <pic:cNvPicPr/>
                  </pic:nvPicPr>
                  <pic:blipFill>
                    <a:blip r:embed="rId14" cstate="print"/>
                    <a:stretch>
                      <a:fillRect/>
                    </a:stretch>
                  </pic:blipFill>
                  <pic:spPr>
                    <a:xfrm>
                      <a:off x="0" y="0"/>
                      <a:ext cx="6263640" cy="3081020"/>
                    </a:xfrm>
                    <a:prstGeom prst="rect">
                      <a:avLst/>
                    </a:prstGeom>
                  </pic:spPr>
                </pic:pic>
              </a:graphicData>
            </a:graphic>
          </wp:inline>
        </w:drawing>
      </w:r>
    </w:p>
    <w:p w:rsidR="00C11A77" w:rsidRDefault="00D230D2" w:rsidP="008C12C8">
      <w:pPr>
        <w:rPr>
          <w:noProof/>
        </w:rPr>
      </w:pPr>
      <w:r>
        <w:rPr>
          <w:noProof/>
        </w:rPr>
        <w:lastRenderedPageBreak/>
        <w:drawing>
          <wp:inline distT="0" distB="0" distL="0" distR="0">
            <wp:extent cx="6263640" cy="3375660"/>
            <wp:effectExtent l="0" t="0" r="3810" b="0"/>
            <wp:docPr id="10" name="Immagine 10"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avolo&#10;&#10;Descrizione generata automaticamente"/>
                    <pic:cNvPicPr/>
                  </pic:nvPicPr>
                  <pic:blipFill>
                    <a:blip r:embed="rId15" cstate="print"/>
                    <a:stretch>
                      <a:fillRect/>
                    </a:stretch>
                  </pic:blipFill>
                  <pic:spPr>
                    <a:xfrm>
                      <a:off x="0" y="0"/>
                      <a:ext cx="6263640" cy="3375660"/>
                    </a:xfrm>
                    <a:prstGeom prst="rect">
                      <a:avLst/>
                    </a:prstGeom>
                  </pic:spPr>
                </pic:pic>
              </a:graphicData>
            </a:graphic>
          </wp:inline>
        </w:drawing>
      </w:r>
    </w:p>
    <w:p w:rsidR="00D230D2" w:rsidRDefault="00D230D2" w:rsidP="008C12C8">
      <w:pPr>
        <w:rPr>
          <w:noProof/>
        </w:rPr>
      </w:pPr>
      <w:r>
        <w:rPr>
          <w:noProof/>
        </w:rPr>
        <w:drawing>
          <wp:inline distT="0" distB="0" distL="0" distR="0">
            <wp:extent cx="6263640" cy="3383280"/>
            <wp:effectExtent l="0" t="0" r="3810" b="7620"/>
            <wp:docPr id="11" name="Immagine 1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avolo&#10;&#10;Descrizione generata automaticamente"/>
                    <pic:cNvPicPr/>
                  </pic:nvPicPr>
                  <pic:blipFill>
                    <a:blip r:embed="rId16" cstate="print"/>
                    <a:stretch>
                      <a:fillRect/>
                    </a:stretch>
                  </pic:blipFill>
                  <pic:spPr>
                    <a:xfrm>
                      <a:off x="0" y="0"/>
                      <a:ext cx="6263640" cy="3383280"/>
                    </a:xfrm>
                    <a:prstGeom prst="rect">
                      <a:avLst/>
                    </a:prstGeom>
                  </pic:spPr>
                </pic:pic>
              </a:graphicData>
            </a:graphic>
          </wp:inline>
        </w:drawing>
      </w:r>
    </w:p>
    <w:p w:rsidR="00D230D2" w:rsidRDefault="00D230D2" w:rsidP="008C12C8">
      <w:pPr>
        <w:rPr>
          <w:noProof/>
        </w:rPr>
      </w:pPr>
      <w:r>
        <w:rPr>
          <w:noProof/>
        </w:rPr>
        <w:lastRenderedPageBreak/>
        <w:drawing>
          <wp:inline distT="0" distB="0" distL="0" distR="0">
            <wp:extent cx="6263640" cy="2158365"/>
            <wp:effectExtent l="0" t="0" r="3810" b="0"/>
            <wp:docPr id="12" name="Immagine 12" descr="Immagine che contiene testo,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 tavolo&#10;&#10;Descrizione generata automaticamente"/>
                    <pic:cNvPicPr/>
                  </pic:nvPicPr>
                  <pic:blipFill>
                    <a:blip r:embed="rId17" cstate="print"/>
                    <a:stretch>
                      <a:fillRect/>
                    </a:stretch>
                  </pic:blipFill>
                  <pic:spPr>
                    <a:xfrm>
                      <a:off x="0" y="0"/>
                      <a:ext cx="6263640" cy="2158365"/>
                    </a:xfrm>
                    <a:prstGeom prst="rect">
                      <a:avLst/>
                    </a:prstGeom>
                  </pic:spPr>
                </pic:pic>
              </a:graphicData>
            </a:graphic>
          </wp:inline>
        </w:drawing>
      </w:r>
    </w:p>
    <w:p w:rsidR="00C11A77" w:rsidRDefault="00D230D2" w:rsidP="008C12C8">
      <w:pPr>
        <w:rPr>
          <w:noProof/>
        </w:rPr>
      </w:pPr>
      <w:r>
        <w:rPr>
          <w:noProof/>
        </w:rPr>
        <w:drawing>
          <wp:inline distT="0" distB="0" distL="0" distR="0">
            <wp:extent cx="6263640" cy="3087370"/>
            <wp:effectExtent l="0" t="0" r="381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testo&#10;&#10;Descrizione generata automaticamente"/>
                    <pic:cNvPicPr/>
                  </pic:nvPicPr>
                  <pic:blipFill>
                    <a:blip r:embed="rId18" cstate="print"/>
                    <a:stretch>
                      <a:fillRect/>
                    </a:stretch>
                  </pic:blipFill>
                  <pic:spPr>
                    <a:xfrm>
                      <a:off x="0" y="0"/>
                      <a:ext cx="6263640" cy="3087370"/>
                    </a:xfrm>
                    <a:prstGeom prst="rect">
                      <a:avLst/>
                    </a:prstGeom>
                  </pic:spPr>
                </pic:pic>
              </a:graphicData>
            </a:graphic>
          </wp:inline>
        </w:drawing>
      </w:r>
    </w:p>
    <w:p w:rsidR="00C11A77" w:rsidRDefault="00C11A77" w:rsidP="008C12C8">
      <w:pPr>
        <w:rPr>
          <w:noProof/>
        </w:rPr>
      </w:pPr>
    </w:p>
    <w:p w:rsidR="00C11A77" w:rsidRDefault="00D230D2" w:rsidP="008C12C8">
      <w:pPr>
        <w:rPr>
          <w:noProof/>
        </w:rPr>
      </w:pPr>
      <w:r>
        <w:rPr>
          <w:noProof/>
        </w:rPr>
        <w:drawing>
          <wp:inline distT="0" distB="0" distL="0" distR="0">
            <wp:extent cx="6263640" cy="1334135"/>
            <wp:effectExtent l="0" t="0" r="3810" b="0"/>
            <wp:docPr id="15" name="Immagine 15"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tavolo&#10;&#10;Descrizione generata automaticamente"/>
                    <pic:cNvPicPr/>
                  </pic:nvPicPr>
                  <pic:blipFill>
                    <a:blip r:embed="rId19" cstate="print"/>
                    <a:stretch>
                      <a:fillRect/>
                    </a:stretch>
                  </pic:blipFill>
                  <pic:spPr>
                    <a:xfrm>
                      <a:off x="0" y="0"/>
                      <a:ext cx="6263640" cy="1334135"/>
                    </a:xfrm>
                    <a:prstGeom prst="rect">
                      <a:avLst/>
                    </a:prstGeom>
                  </pic:spPr>
                </pic:pic>
              </a:graphicData>
            </a:graphic>
          </wp:inline>
        </w:drawing>
      </w:r>
    </w:p>
    <w:p w:rsidR="00C11A77" w:rsidRDefault="00C11A77" w:rsidP="008C12C8">
      <w:pPr>
        <w:rPr>
          <w:noProof/>
        </w:rPr>
      </w:pPr>
    </w:p>
    <w:p w:rsidR="00C11A77" w:rsidRDefault="00D230D2" w:rsidP="008C12C8">
      <w:pPr>
        <w:rPr>
          <w:noProof/>
        </w:rPr>
      </w:pPr>
      <w:r>
        <w:rPr>
          <w:noProof/>
        </w:rPr>
        <w:drawing>
          <wp:inline distT="0" distB="0" distL="0" distR="0">
            <wp:extent cx="6263640" cy="1483995"/>
            <wp:effectExtent l="0" t="0" r="3810" b="1905"/>
            <wp:docPr id="16" name="Immagine 16"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tavolo&#10;&#10;Descrizione generata automaticamente"/>
                    <pic:cNvPicPr/>
                  </pic:nvPicPr>
                  <pic:blipFill>
                    <a:blip r:embed="rId20" cstate="print"/>
                    <a:stretch>
                      <a:fillRect/>
                    </a:stretch>
                  </pic:blipFill>
                  <pic:spPr>
                    <a:xfrm>
                      <a:off x="0" y="0"/>
                      <a:ext cx="6263640" cy="1483995"/>
                    </a:xfrm>
                    <a:prstGeom prst="rect">
                      <a:avLst/>
                    </a:prstGeom>
                  </pic:spPr>
                </pic:pic>
              </a:graphicData>
            </a:graphic>
          </wp:inline>
        </w:drawing>
      </w:r>
    </w:p>
    <w:p w:rsidR="008C12C8" w:rsidRDefault="008C12C8" w:rsidP="008C12C8">
      <w:pPr>
        <w:rPr>
          <w:noProof/>
        </w:rPr>
      </w:pPr>
    </w:p>
    <w:p w:rsidR="00B25C4E" w:rsidRPr="00B67FEC" w:rsidRDefault="00D230D2" w:rsidP="008C12C8">
      <w:pPr>
        <w:rPr>
          <w:rFonts w:cs="Calibri"/>
          <w:szCs w:val="20"/>
        </w:rPr>
      </w:pPr>
      <w:r>
        <w:rPr>
          <w:noProof/>
        </w:rPr>
        <w:lastRenderedPageBreak/>
        <w:drawing>
          <wp:inline distT="0" distB="0" distL="0" distR="0">
            <wp:extent cx="6263640" cy="4598035"/>
            <wp:effectExtent l="0" t="0" r="3810" b="0"/>
            <wp:docPr id="17" name="Immagine 17"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tavolo&#10;&#10;Descrizione generata automaticamente"/>
                    <pic:cNvPicPr/>
                  </pic:nvPicPr>
                  <pic:blipFill>
                    <a:blip r:embed="rId21" cstate="print"/>
                    <a:stretch>
                      <a:fillRect/>
                    </a:stretch>
                  </pic:blipFill>
                  <pic:spPr>
                    <a:xfrm>
                      <a:off x="0" y="0"/>
                      <a:ext cx="6263640" cy="4598035"/>
                    </a:xfrm>
                    <a:prstGeom prst="rect">
                      <a:avLst/>
                    </a:prstGeom>
                  </pic:spPr>
                </pic:pic>
              </a:graphicData>
            </a:graphic>
          </wp:inline>
        </w:drawing>
      </w:r>
    </w:p>
    <w:p w:rsidR="00B25C4E" w:rsidRPr="00B67FEC" w:rsidRDefault="00B25C4E" w:rsidP="008C12C8">
      <w:pPr>
        <w:rPr>
          <w:rFonts w:cs="Calibri"/>
          <w:noProof/>
        </w:rPr>
      </w:pPr>
    </w:p>
    <w:p w:rsidR="00C32E37" w:rsidRPr="00E606E6" w:rsidRDefault="009D2E20" w:rsidP="00E606E6">
      <w:pPr>
        <w:pStyle w:val="Titolo2"/>
      </w:pPr>
      <w:bookmarkStart w:id="96" w:name="_Toc28881629"/>
      <w:bookmarkStart w:id="97" w:name="_Toc28966885"/>
      <w:bookmarkStart w:id="98" w:name="_Toc28967105"/>
      <w:bookmarkStart w:id="99" w:name="_Toc28967358"/>
      <w:bookmarkStart w:id="100" w:name="_Toc101602020"/>
      <w:r w:rsidRPr="00E606E6">
        <w:t>Sottosezione Mappatura dei Processi per aree di rischio "Generali" e "Specifiche"</w:t>
      </w:r>
      <w:bookmarkEnd w:id="96"/>
      <w:bookmarkEnd w:id="97"/>
      <w:bookmarkEnd w:id="98"/>
      <w:bookmarkEnd w:id="99"/>
      <w:bookmarkEnd w:id="100"/>
    </w:p>
    <w:p w:rsidR="009D2E20" w:rsidRPr="00B67FEC" w:rsidRDefault="009D2E20" w:rsidP="0049154B">
      <w:pPr>
        <w:rPr>
          <w:rFonts w:cs="Calibri"/>
          <w:noProof/>
          <w:szCs w:val="20"/>
        </w:rPr>
      </w:pPr>
      <w:r w:rsidRPr="00B67FEC">
        <w:rPr>
          <w:rFonts w:cs="Calibri"/>
          <w:noProof/>
          <w:szCs w:val="20"/>
        </w:rPr>
        <w:t xml:space="preserve">Le aree di rischio </w:t>
      </w:r>
      <w:r w:rsidR="00DD3386" w:rsidRPr="00B67FEC">
        <w:rPr>
          <w:rFonts w:cs="Calibri"/>
          <w:noProof/>
          <w:szCs w:val="20"/>
        </w:rPr>
        <w:t xml:space="preserve">previste dal PNA 2019 </w:t>
      </w:r>
      <w:r w:rsidRPr="00B67FEC">
        <w:rPr>
          <w:rFonts w:cs="Calibri"/>
          <w:noProof/>
          <w:szCs w:val="20"/>
        </w:rPr>
        <w:t xml:space="preserve">per le quali è stata realizzata la mappatura dei </w:t>
      </w:r>
      <w:r w:rsidR="00187ED9" w:rsidRPr="00B67FEC">
        <w:rPr>
          <w:rFonts w:cs="Calibri"/>
          <w:noProof/>
          <w:szCs w:val="20"/>
        </w:rPr>
        <w:t>protocolli MOG231</w:t>
      </w:r>
      <w:r w:rsidRPr="00B67FEC">
        <w:rPr>
          <w:rFonts w:cs="Calibri"/>
          <w:noProof/>
          <w:szCs w:val="20"/>
        </w:rPr>
        <w:t xml:space="preserve"> </w:t>
      </w:r>
      <w:r w:rsidR="00DD3386" w:rsidRPr="00B67FEC">
        <w:rPr>
          <w:rFonts w:cs="Calibri"/>
          <w:noProof/>
          <w:szCs w:val="20"/>
        </w:rPr>
        <w:t xml:space="preserve">di </w:t>
      </w:r>
      <w:r w:rsidR="00EC0950">
        <w:rPr>
          <w:rFonts w:cs="Calibri"/>
          <w:noProof/>
          <w:szCs w:val="20"/>
        </w:rPr>
        <w:t>Segrate Servizi Srl</w:t>
      </w:r>
      <w:r w:rsidR="00DD3386" w:rsidRPr="00B67FEC">
        <w:rPr>
          <w:rFonts w:cs="Calibri"/>
          <w:noProof/>
          <w:szCs w:val="20"/>
        </w:rPr>
        <w:t xml:space="preserve"> </w:t>
      </w:r>
      <w:r w:rsidRPr="00B67FEC">
        <w:rPr>
          <w:rFonts w:cs="Calibri"/>
          <w:noProof/>
          <w:szCs w:val="20"/>
        </w:rPr>
        <w:t xml:space="preserve">sono le seguenti: </w:t>
      </w:r>
    </w:p>
    <w:p w:rsidR="00877CF7" w:rsidRDefault="00877CF7" w:rsidP="00C22A36">
      <w:pPr>
        <w:numPr>
          <w:ilvl w:val="0"/>
          <w:numId w:val="23"/>
        </w:numPr>
        <w:tabs>
          <w:tab w:val="left" w:pos="426"/>
        </w:tabs>
        <w:rPr>
          <w:rFonts w:cs="Calibri"/>
          <w:noProof/>
          <w:szCs w:val="20"/>
        </w:rPr>
      </w:pPr>
      <w:r w:rsidRPr="00B67FEC">
        <w:rPr>
          <w:rFonts w:cs="Calibri"/>
          <w:noProof/>
          <w:szCs w:val="20"/>
        </w:rPr>
        <w:t>Acquis</w:t>
      </w:r>
      <w:r w:rsidR="008D76F7">
        <w:rPr>
          <w:rFonts w:cs="Calibri"/>
          <w:noProof/>
          <w:szCs w:val="20"/>
        </w:rPr>
        <w:t>izione e gestione del personale.</w:t>
      </w:r>
    </w:p>
    <w:p w:rsidR="00877CF7" w:rsidRPr="00B67FEC" w:rsidRDefault="00877CF7" w:rsidP="00C22A36">
      <w:pPr>
        <w:numPr>
          <w:ilvl w:val="0"/>
          <w:numId w:val="23"/>
        </w:numPr>
        <w:tabs>
          <w:tab w:val="left" w:pos="426"/>
        </w:tabs>
        <w:rPr>
          <w:rFonts w:cs="Calibri"/>
          <w:noProof/>
          <w:szCs w:val="20"/>
        </w:rPr>
      </w:pPr>
      <w:r w:rsidRPr="00B67FEC">
        <w:rPr>
          <w:rFonts w:cs="Calibri"/>
          <w:noProof/>
          <w:szCs w:val="20"/>
        </w:rPr>
        <w:t>Provvedimenti ampliativi della sfera giuridica senza effetto economico diretto ed immediato (es. autori</w:t>
      </w:r>
      <w:r w:rsidR="008D76F7">
        <w:rPr>
          <w:rFonts w:cs="Calibri"/>
          <w:noProof/>
          <w:szCs w:val="20"/>
        </w:rPr>
        <w:t>zzazioni e concessioni, etc.).</w:t>
      </w:r>
    </w:p>
    <w:p w:rsidR="00877CF7" w:rsidRPr="00B67FEC" w:rsidRDefault="00877CF7" w:rsidP="00C22A36">
      <w:pPr>
        <w:numPr>
          <w:ilvl w:val="0"/>
          <w:numId w:val="23"/>
        </w:numPr>
        <w:tabs>
          <w:tab w:val="left" w:pos="426"/>
        </w:tabs>
        <w:rPr>
          <w:rFonts w:cs="Calibri"/>
          <w:noProof/>
          <w:szCs w:val="20"/>
        </w:rPr>
      </w:pPr>
      <w:r w:rsidRPr="00B67FEC">
        <w:rPr>
          <w:rFonts w:cs="Calibri"/>
        </w:rPr>
        <w:t>Provvedimenti ampliativi della sfera giuridica con effetto economico diretto ed immediato (es. erogazione contributi, etc.)</w:t>
      </w:r>
      <w:r w:rsidR="008D76F7">
        <w:rPr>
          <w:rFonts w:cs="Calibri"/>
          <w:noProof/>
          <w:szCs w:val="20"/>
        </w:rPr>
        <w:t>.</w:t>
      </w:r>
    </w:p>
    <w:p w:rsidR="00877CF7" w:rsidRPr="00B67FEC" w:rsidRDefault="008D76F7" w:rsidP="00C22A36">
      <w:pPr>
        <w:numPr>
          <w:ilvl w:val="0"/>
          <w:numId w:val="23"/>
        </w:numPr>
        <w:tabs>
          <w:tab w:val="left" w:pos="426"/>
        </w:tabs>
        <w:rPr>
          <w:rFonts w:cs="Calibri"/>
          <w:noProof/>
          <w:szCs w:val="20"/>
        </w:rPr>
      </w:pPr>
      <w:r>
        <w:rPr>
          <w:rFonts w:cs="Calibri"/>
          <w:noProof/>
          <w:szCs w:val="20"/>
        </w:rPr>
        <w:t>Contratti pubblici.</w:t>
      </w:r>
    </w:p>
    <w:p w:rsidR="00DD3386" w:rsidRPr="00B67FEC" w:rsidRDefault="00877CF7" w:rsidP="00C22A36">
      <w:pPr>
        <w:numPr>
          <w:ilvl w:val="0"/>
          <w:numId w:val="23"/>
        </w:numPr>
        <w:tabs>
          <w:tab w:val="left" w:pos="426"/>
        </w:tabs>
        <w:rPr>
          <w:rFonts w:cs="Calibri"/>
          <w:noProof/>
          <w:szCs w:val="20"/>
        </w:rPr>
      </w:pPr>
      <w:r w:rsidRPr="00B67FEC">
        <w:rPr>
          <w:rFonts w:cs="Calibri"/>
          <w:noProof/>
          <w:szCs w:val="20"/>
        </w:rPr>
        <w:t>Gestione delle entrate, delle spese e del patrimonio.</w:t>
      </w:r>
    </w:p>
    <w:p w:rsidR="00C8360A" w:rsidRPr="00B67FEC" w:rsidRDefault="00C8360A" w:rsidP="00C22A36">
      <w:pPr>
        <w:numPr>
          <w:ilvl w:val="0"/>
          <w:numId w:val="23"/>
        </w:numPr>
        <w:tabs>
          <w:tab w:val="left" w:pos="426"/>
        </w:tabs>
        <w:rPr>
          <w:rFonts w:cs="Calibri"/>
          <w:noProof/>
          <w:szCs w:val="20"/>
        </w:rPr>
      </w:pPr>
      <w:r w:rsidRPr="00B67FEC">
        <w:rPr>
          <w:rFonts w:cs="Calibri"/>
          <w:noProof/>
          <w:szCs w:val="20"/>
        </w:rPr>
        <w:t>Controlli, verifiche, ispezioni e sanzioni</w:t>
      </w:r>
      <w:r w:rsidR="008D76F7">
        <w:rPr>
          <w:rFonts w:cs="Calibri"/>
          <w:noProof/>
          <w:szCs w:val="20"/>
        </w:rPr>
        <w:t>.</w:t>
      </w:r>
    </w:p>
    <w:p w:rsidR="00187ED9" w:rsidRPr="00187ED9" w:rsidRDefault="00187ED9" w:rsidP="00C22A36">
      <w:pPr>
        <w:numPr>
          <w:ilvl w:val="0"/>
          <w:numId w:val="23"/>
        </w:numPr>
        <w:tabs>
          <w:tab w:val="left" w:pos="426"/>
        </w:tabs>
        <w:rPr>
          <w:rFonts w:cs="Calibri"/>
          <w:noProof/>
          <w:szCs w:val="20"/>
        </w:rPr>
      </w:pPr>
      <w:r w:rsidRPr="00187ED9">
        <w:rPr>
          <w:rFonts w:cs="Calibri"/>
          <w:noProof/>
          <w:szCs w:val="20"/>
        </w:rPr>
        <w:t>Altre Aree di rischio (generali e specifiche)</w:t>
      </w:r>
      <w:r w:rsidR="008D76F7">
        <w:rPr>
          <w:rFonts w:cs="Calibri"/>
          <w:noProof/>
          <w:szCs w:val="20"/>
        </w:rPr>
        <w:t>.</w:t>
      </w:r>
    </w:p>
    <w:p w:rsidR="00877CF7" w:rsidRPr="00B67FEC" w:rsidRDefault="00877CF7" w:rsidP="00877CF7">
      <w:pPr>
        <w:tabs>
          <w:tab w:val="left" w:pos="426"/>
        </w:tabs>
        <w:ind w:left="426" w:hanging="426"/>
        <w:rPr>
          <w:rFonts w:cs="Calibri"/>
          <w:noProof/>
          <w:szCs w:val="20"/>
        </w:rPr>
      </w:pPr>
    </w:p>
    <w:p w:rsidR="00DD3386" w:rsidRPr="00B67FEC" w:rsidRDefault="00DD3386" w:rsidP="00723447">
      <w:pPr>
        <w:rPr>
          <w:rFonts w:cs="Calibri"/>
          <w:noProof/>
          <w:szCs w:val="20"/>
        </w:rPr>
      </w:pPr>
      <w:r w:rsidRPr="00B67FEC">
        <w:rPr>
          <w:rFonts w:cs="Calibri"/>
          <w:noProof/>
          <w:szCs w:val="20"/>
        </w:rPr>
        <w:t xml:space="preserve">Per le seguenti aree previste dal PNA 2019, </w:t>
      </w:r>
      <w:r w:rsidR="00723447" w:rsidRPr="00B67FEC">
        <w:rPr>
          <w:rFonts w:cs="Calibri"/>
          <w:noProof/>
          <w:szCs w:val="20"/>
        </w:rPr>
        <w:t xml:space="preserve">considerato </w:t>
      </w:r>
      <w:r w:rsidRPr="00B67FEC">
        <w:rPr>
          <w:rFonts w:cs="Calibri"/>
          <w:noProof/>
          <w:szCs w:val="20"/>
        </w:rPr>
        <w:t xml:space="preserve">che NON sono applicabili alle attività di </w:t>
      </w:r>
      <w:r w:rsidR="00EC0950">
        <w:rPr>
          <w:rFonts w:cs="Calibri"/>
          <w:noProof/>
          <w:szCs w:val="20"/>
        </w:rPr>
        <w:t>Segrate Servizi Srl</w:t>
      </w:r>
      <w:r w:rsidRPr="00B67FEC">
        <w:rPr>
          <w:rFonts w:cs="Calibri"/>
          <w:noProof/>
          <w:szCs w:val="20"/>
        </w:rPr>
        <w:t xml:space="preserve">, </w:t>
      </w:r>
      <w:r w:rsidR="00723447" w:rsidRPr="00B67FEC">
        <w:rPr>
          <w:rFonts w:cs="Calibri"/>
          <w:noProof/>
          <w:szCs w:val="20"/>
        </w:rPr>
        <w:t>non si è provveduto ad attivar</w:t>
      </w:r>
      <w:r w:rsidR="00187ED9" w:rsidRPr="00B67FEC">
        <w:rPr>
          <w:rFonts w:cs="Calibri"/>
          <w:noProof/>
          <w:szCs w:val="20"/>
        </w:rPr>
        <w:t>e la mappatura dei dei processi:</w:t>
      </w:r>
    </w:p>
    <w:p w:rsidR="00187ED9" w:rsidRPr="00187ED9" w:rsidRDefault="00187ED9" w:rsidP="00187ED9">
      <w:pPr>
        <w:tabs>
          <w:tab w:val="left" w:pos="426"/>
        </w:tabs>
        <w:ind w:left="426" w:hanging="426"/>
        <w:rPr>
          <w:rFonts w:cs="Calibri"/>
          <w:noProof/>
          <w:szCs w:val="20"/>
        </w:rPr>
      </w:pPr>
      <w:r w:rsidRPr="00187ED9">
        <w:rPr>
          <w:rFonts w:cs="Calibri"/>
          <w:noProof/>
          <w:szCs w:val="20"/>
        </w:rPr>
        <w:t>E.</w:t>
      </w:r>
      <w:r w:rsidRPr="00187ED9">
        <w:rPr>
          <w:rFonts w:cs="Calibri"/>
          <w:noProof/>
          <w:szCs w:val="20"/>
        </w:rPr>
        <w:tab/>
        <w:t>Incarichi e nomine</w:t>
      </w:r>
      <w:r w:rsidR="00922B6F">
        <w:rPr>
          <w:rFonts w:cs="Calibri"/>
          <w:noProof/>
          <w:szCs w:val="20"/>
        </w:rPr>
        <w:t>.</w:t>
      </w:r>
    </w:p>
    <w:p w:rsidR="00187ED9" w:rsidRPr="00187ED9" w:rsidRDefault="00187ED9" w:rsidP="00187ED9">
      <w:pPr>
        <w:tabs>
          <w:tab w:val="left" w:pos="426"/>
        </w:tabs>
        <w:ind w:left="426" w:hanging="426"/>
        <w:rPr>
          <w:rFonts w:cs="Calibri"/>
          <w:noProof/>
          <w:szCs w:val="20"/>
        </w:rPr>
      </w:pPr>
      <w:r w:rsidRPr="00187ED9">
        <w:rPr>
          <w:rFonts w:cs="Calibri"/>
          <w:noProof/>
          <w:szCs w:val="20"/>
        </w:rPr>
        <w:t xml:space="preserve">H. </w:t>
      </w:r>
      <w:r w:rsidRPr="00187ED9">
        <w:rPr>
          <w:rFonts w:cs="Calibri"/>
          <w:noProof/>
          <w:szCs w:val="20"/>
        </w:rPr>
        <w:tab/>
        <w:t>Affari legali e contenzioso</w:t>
      </w:r>
      <w:r w:rsidR="00922B6F">
        <w:rPr>
          <w:rFonts w:cs="Calibri"/>
          <w:noProof/>
          <w:szCs w:val="20"/>
        </w:rPr>
        <w:t>.</w:t>
      </w:r>
    </w:p>
    <w:p w:rsidR="00411957" w:rsidRDefault="00411957" w:rsidP="00411957">
      <w:pPr>
        <w:rPr>
          <w:rFonts w:cs="Tahoma"/>
          <w:szCs w:val="20"/>
        </w:rPr>
      </w:pPr>
    </w:p>
    <w:p w:rsidR="00411957" w:rsidRDefault="00411957" w:rsidP="00411957">
      <w:pPr>
        <w:rPr>
          <w:rFonts w:cs="Tahoma"/>
          <w:szCs w:val="20"/>
        </w:rPr>
      </w:pPr>
      <w:r>
        <w:rPr>
          <w:rFonts w:cs="Tahoma"/>
          <w:szCs w:val="20"/>
        </w:rPr>
        <w:t xml:space="preserve">Nella seguente elencazione di </w:t>
      </w:r>
      <w:r w:rsidRPr="000C4AF6">
        <w:rPr>
          <w:rFonts w:cs="Tahoma"/>
          <w:szCs w:val="20"/>
        </w:rPr>
        <w:t>ogni processo</w:t>
      </w:r>
      <w:r>
        <w:rPr>
          <w:rFonts w:cs="Tahoma"/>
          <w:szCs w:val="20"/>
        </w:rPr>
        <w:t>, coerentemente alle indicazioni del PNA 2019, sono riportate i sotto procedimenti e le procedure che lo caratterizzano ed è formalizzata una sintetica mappatura di processo, individuando input, attività correlate e output attesi.</w:t>
      </w:r>
    </w:p>
    <w:p w:rsidR="00411957" w:rsidRDefault="00411957" w:rsidP="00411957">
      <w:pPr>
        <w:rPr>
          <w:rFonts w:cs="Tahoma"/>
          <w:szCs w:val="20"/>
        </w:rPr>
      </w:pPr>
      <w:r>
        <w:rPr>
          <w:rFonts w:cs="Tahoma"/>
          <w:szCs w:val="20"/>
        </w:rPr>
        <w:t xml:space="preserve">Sono, inoltre, analizzati i fattori abilitanti, </w:t>
      </w:r>
      <w:r w:rsidRPr="00411957">
        <w:rPr>
          <w:rFonts w:cs="Calibri"/>
        </w:rPr>
        <w:t>ossia i fattori di contesto che agevolano il verificarsi di comportamenti o fatti di corruzione. L’analisi di questi fattori consente di individuare le misure specifiche di trattamento più efficaci, ossia le azioni di risposta più appropriate e indicate per prevenire i rischi. I fattori abilitanti possono essere, per ogni rischio, molteplici e combinarsi tra loro.</w:t>
      </w:r>
    </w:p>
    <w:p w:rsidR="00411957" w:rsidRPr="008609FD" w:rsidRDefault="00411957" w:rsidP="00411957">
      <w:pPr>
        <w:rPr>
          <w:rFonts w:cs="Tahoma"/>
          <w:szCs w:val="20"/>
        </w:rPr>
      </w:pPr>
      <w:r>
        <w:rPr>
          <w:rFonts w:cs="Tahoma"/>
          <w:szCs w:val="20"/>
        </w:rPr>
        <w:t>È infine riassunta graficamente attraverso la formattazione colore del carattere</w:t>
      </w:r>
      <w:r w:rsidRPr="000C4AF6">
        <w:rPr>
          <w:rFonts w:cs="Tahoma"/>
          <w:szCs w:val="20"/>
        </w:rPr>
        <w:t>, tenendo conto della metodologia proposta all’interno del Piano Nazionale Anticorruzione</w:t>
      </w:r>
      <w:r>
        <w:rPr>
          <w:rFonts w:cs="Tahoma"/>
          <w:szCs w:val="20"/>
        </w:rPr>
        <w:t xml:space="preserve"> 2019</w:t>
      </w:r>
      <w:r w:rsidRPr="000C4AF6">
        <w:rPr>
          <w:rFonts w:cs="Tahoma"/>
          <w:szCs w:val="20"/>
        </w:rPr>
        <w:t xml:space="preserve">, la </w:t>
      </w:r>
      <w:r>
        <w:rPr>
          <w:rFonts w:cs="Tahoma"/>
          <w:szCs w:val="20"/>
        </w:rPr>
        <w:t xml:space="preserve">relativa </w:t>
      </w:r>
      <w:r w:rsidRPr="000C4AF6">
        <w:rPr>
          <w:rFonts w:cs="Tahoma"/>
          <w:szCs w:val="20"/>
        </w:rPr>
        <w:t>valutazione del rischio</w:t>
      </w:r>
      <w:r>
        <w:rPr>
          <w:rFonts w:cs="Tahoma"/>
          <w:szCs w:val="20"/>
        </w:rPr>
        <w:t>, rappresentata in dettaglio nel “</w:t>
      </w:r>
      <w:r w:rsidR="00B61F65">
        <w:rPr>
          <w:rFonts w:cs="Tahoma"/>
          <w:szCs w:val="20"/>
        </w:rPr>
        <w:t>Piano dei Rischi 2022</w:t>
      </w:r>
      <w:r>
        <w:rPr>
          <w:rFonts w:cs="Tahoma"/>
          <w:szCs w:val="20"/>
        </w:rPr>
        <w:t>” attraverso la seguente s</w:t>
      </w:r>
      <w:r w:rsidRPr="008609FD">
        <w:rPr>
          <w:rFonts w:cs="Tahoma"/>
          <w:szCs w:val="20"/>
        </w:rPr>
        <w:t xml:space="preserve">cala di misurazione: </w:t>
      </w:r>
      <w:r w:rsidRPr="00D806FF">
        <w:rPr>
          <w:rFonts w:cs="Tahoma"/>
          <w:color w:val="C00000"/>
          <w:szCs w:val="20"/>
        </w:rPr>
        <w:t>Alto</w:t>
      </w:r>
      <w:r w:rsidRPr="008609FD">
        <w:rPr>
          <w:rFonts w:cs="Tahoma"/>
          <w:szCs w:val="20"/>
        </w:rPr>
        <w:t xml:space="preserve">, </w:t>
      </w:r>
      <w:r w:rsidRPr="00D806FF">
        <w:rPr>
          <w:rFonts w:cs="Tahoma"/>
          <w:color w:val="FFC000"/>
          <w:szCs w:val="20"/>
        </w:rPr>
        <w:t>Medio</w:t>
      </w:r>
      <w:r w:rsidRPr="008609FD">
        <w:rPr>
          <w:rFonts w:cs="Tahoma"/>
          <w:szCs w:val="20"/>
        </w:rPr>
        <w:t xml:space="preserve">, </w:t>
      </w:r>
      <w:r w:rsidRPr="00D806FF">
        <w:rPr>
          <w:rFonts w:cs="Tahoma"/>
          <w:color w:val="00B050"/>
          <w:szCs w:val="20"/>
        </w:rPr>
        <w:t>Basso</w:t>
      </w:r>
      <w:r w:rsidRPr="008609FD">
        <w:rPr>
          <w:rFonts w:cs="Tahoma"/>
          <w:szCs w:val="20"/>
        </w:rPr>
        <w:t>.</w:t>
      </w:r>
    </w:p>
    <w:p w:rsidR="00187ED9" w:rsidRPr="00B67FEC" w:rsidRDefault="00187ED9" w:rsidP="00723447">
      <w:pPr>
        <w:rPr>
          <w:rFonts w:cs="Calibri"/>
          <w:noProof/>
          <w:szCs w:val="20"/>
        </w:rPr>
      </w:pPr>
    </w:p>
    <w:p w:rsidR="00133ED3" w:rsidRPr="00E606E6" w:rsidRDefault="00133ED3" w:rsidP="00E606E6">
      <w:pPr>
        <w:pStyle w:val="Titolo3"/>
      </w:pPr>
      <w:bookmarkStart w:id="101" w:name="_Toc28966886"/>
      <w:bookmarkStart w:id="102" w:name="_Toc28967106"/>
      <w:bookmarkStart w:id="103" w:name="_Toc28967359"/>
      <w:bookmarkStart w:id="104" w:name="_Toc101602021"/>
      <w:r w:rsidRPr="00E606E6">
        <w:t xml:space="preserve">G.4.1.A. Acquisizione e </w:t>
      </w:r>
      <w:r w:rsidR="00877CF7" w:rsidRPr="00E606E6">
        <w:t>gestione</w:t>
      </w:r>
      <w:r w:rsidRPr="00E606E6">
        <w:t xml:space="preserve"> del personale</w:t>
      </w:r>
      <w:bookmarkEnd w:id="101"/>
      <w:bookmarkEnd w:id="102"/>
      <w:bookmarkEnd w:id="103"/>
      <w:bookmarkEnd w:id="104"/>
    </w:p>
    <w:p w:rsidR="00133ED3" w:rsidRPr="00B67FEC" w:rsidRDefault="00133ED3" w:rsidP="00401DD4">
      <w:pPr>
        <w:rPr>
          <w:rFonts w:cs="Calibri"/>
          <w:noProof/>
        </w:rPr>
      </w:pPr>
      <w:r w:rsidRPr="00B67FEC">
        <w:rPr>
          <w:rFonts w:cs="Calibri"/>
          <w:noProof/>
        </w:rPr>
        <w:t xml:space="preserve">Numero di </w:t>
      </w:r>
      <w:r w:rsidR="00187ED9" w:rsidRPr="00B67FEC">
        <w:rPr>
          <w:rFonts w:cs="Calibri"/>
          <w:noProof/>
        </w:rPr>
        <w:t>protocolli</w:t>
      </w:r>
      <w:r w:rsidRPr="00B67FEC">
        <w:rPr>
          <w:rFonts w:cs="Calibri"/>
          <w:noProof/>
        </w:rPr>
        <w:t xml:space="preserve"> mappati per l'area di rischio: </w:t>
      </w:r>
      <w:r w:rsidR="00187ED9" w:rsidRPr="00B67FEC">
        <w:rPr>
          <w:rFonts w:cs="Calibri"/>
          <w:noProof/>
        </w:rPr>
        <w:t>1</w:t>
      </w:r>
    </w:p>
    <w:p w:rsidR="00187ED9" w:rsidRDefault="00187ED9" w:rsidP="00C22A36">
      <w:pPr>
        <w:tabs>
          <w:tab w:val="left" w:pos="426"/>
        </w:tabs>
        <w:rPr>
          <w:rFonts w:cs="Calibri"/>
          <w:noProof/>
          <w:szCs w:val="20"/>
        </w:rPr>
      </w:pPr>
      <w:bookmarkStart w:id="105" w:name="_Toc28966887"/>
      <w:bookmarkStart w:id="106" w:name="_Toc28967107"/>
      <w:bookmarkStart w:id="107" w:name="_Toc28967360"/>
      <w:r w:rsidRPr="00187ED9">
        <w:rPr>
          <w:rFonts w:cs="Calibri"/>
          <w:noProof/>
          <w:szCs w:val="20"/>
        </w:rPr>
        <w:t>SELEZIONE, ASSU</w:t>
      </w:r>
      <w:r w:rsidR="00922B6F">
        <w:rPr>
          <w:rFonts w:cs="Calibri"/>
          <w:noProof/>
          <w:szCs w:val="20"/>
        </w:rPr>
        <w:t>NZIONE E GESTIONE DEL PERSONALE</w:t>
      </w:r>
      <w:r w:rsidR="00732861">
        <w:rPr>
          <w:rFonts w:cs="Calibri"/>
          <w:noProof/>
          <w:szCs w:val="20"/>
        </w:rPr>
        <w:t xml:space="preserve"> </w:t>
      </w:r>
      <w:r w:rsidR="00732861" w:rsidRPr="00732861">
        <w:rPr>
          <w:rFonts w:cs="Calibri"/>
          <w:noProof/>
          <w:szCs w:val="20"/>
        </w:rPr>
        <w:t>(Protocollo 4 MOG 231)</w:t>
      </w:r>
    </w:p>
    <w:p w:rsidR="00C22A36" w:rsidRPr="00FA38E3" w:rsidRDefault="00C22A36" w:rsidP="00C22A36">
      <w:pPr>
        <w:numPr>
          <w:ilvl w:val="1"/>
          <w:numId w:val="5"/>
        </w:numPr>
        <w:tabs>
          <w:tab w:val="left" w:pos="426"/>
        </w:tabs>
        <w:rPr>
          <w:rFonts w:cs="Calibri"/>
          <w:noProof/>
          <w:color w:val="00B050"/>
          <w:szCs w:val="20"/>
        </w:rPr>
      </w:pPr>
      <w:r w:rsidRPr="00FA38E3">
        <w:rPr>
          <w:rFonts w:cs="Calibri"/>
          <w:noProof/>
          <w:color w:val="00B050"/>
          <w:szCs w:val="20"/>
        </w:rPr>
        <w:t>Conferimento incarichi extra-istituzionali ai dipendenti</w:t>
      </w:r>
    </w:p>
    <w:p w:rsidR="00C22A36" w:rsidRPr="00FA38E3" w:rsidRDefault="00C22A36" w:rsidP="00C22A36">
      <w:pPr>
        <w:numPr>
          <w:ilvl w:val="1"/>
          <w:numId w:val="5"/>
        </w:numPr>
        <w:tabs>
          <w:tab w:val="left" w:pos="426"/>
        </w:tabs>
        <w:rPr>
          <w:rFonts w:cs="Calibri"/>
          <w:noProof/>
          <w:color w:val="FFC000"/>
          <w:szCs w:val="20"/>
        </w:rPr>
      </w:pPr>
      <w:r w:rsidRPr="00FA38E3">
        <w:rPr>
          <w:rFonts w:cs="Calibri"/>
          <w:noProof/>
          <w:color w:val="FFC000"/>
          <w:szCs w:val="20"/>
        </w:rPr>
        <w:t>Procedura di concorso</w:t>
      </w:r>
    </w:p>
    <w:p w:rsidR="00C22A36" w:rsidRPr="00FA38E3" w:rsidRDefault="00C22A36" w:rsidP="00C22A36">
      <w:pPr>
        <w:numPr>
          <w:ilvl w:val="1"/>
          <w:numId w:val="5"/>
        </w:numPr>
        <w:tabs>
          <w:tab w:val="left" w:pos="426"/>
        </w:tabs>
        <w:rPr>
          <w:rFonts w:cs="Calibri"/>
          <w:noProof/>
          <w:color w:val="00B050"/>
          <w:szCs w:val="20"/>
        </w:rPr>
      </w:pPr>
      <w:r w:rsidRPr="00FA38E3">
        <w:rPr>
          <w:rFonts w:cs="Calibri"/>
          <w:noProof/>
          <w:color w:val="00B050"/>
          <w:szCs w:val="20"/>
        </w:rPr>
        <w:t>Gestione economica del personale</w:t>
      </w:r>
    </w:p>
    <w:p w:rsidR="00C22A36" w:rsidRPr="00B64604" w:rsidRDefault="00C22A36" w:rsidP="00C22A36">
      <w:pPr>
        <w:numPr>
          <w:ilvl w:val="1"/>
          <w:numId w:val="5"/>
        </w:numPr>
        <w:tabs>
          <w:tab w:val="left" w:pos="426"/>
        </w:tabs>
        <w:rPr>
          <w:rFonts w:cs="Calibri"/>
          <w:noProof/>
          <w:color w:val="FFC000" w:themeColor="accent4"/>
          <w:szCs w:val="20"/>
        </w:rPr>
      </w:pPr>
      <w:r w:rsidRPr="00B64604">
        <w:rPr>
          <w:rFonts w:cs="Calibri"/>
          <w:noProof/>
          <w:color w:val="FFC000" w:themeColor="accent4"/>
          <w:szCs w:val="20"/>
        </w:rPr>
        <w:t>Gestione giuridica del personale</w:t>
      </w:r>
    </w:p>
    <w:p w:rsidR="00584D08" w:rsidRDefault="00584D08" w:rsidP="00411957"/>
    <w:p w:rsidR="00411957" w:rsidRDefault="00411957" w:rsidP="00411957">
      <w:r>
        <w:t>MAPPATURA PROCESSO</w:t>
      </w:r>
      <w:r>
        <w:tab/>
      </w:r>
      <w:r>
        <w:tab/>
      </w:r>
      <w:r>
        <w:tab/>
      </w:r>
      <w:r>
        <w:tab/>
      </w:r>
      <w:r>
        <w:tab/>
      </w:r>
      <w:r>
        <w:tab/>
      </w:r>
      <w:r>
        <w:tab/>
        <w:t>RESPONSABILITA’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4647"/>
        <w:gridCol w:w="4133"/>
      </w:tblGrid>
      <w:tr w:rsidR="00411957" w:rsidRPr="004D188D" w:rsidTr="00772279">
        <w:tc>
          <w:tcPr>
            <w:tcW w:w="645" w:type="pct"/>
            <w:shd w:val="clear" w:color="auto" w:fill="auto"/>
          </w:tcPr>
          <w:p w:rsidR="00411957" w:rsidRPr="004D188D" w:rsidRDefault="00411957" w:rsidP="00772279">
            <w:r>
              <w:t>Input</w:t>
            </w:r>
          </w:p>
        </w:tc>
        <w:tc>
          <w:tcPr>
            <w:tcW w:w="2305" w:type="pct"/>
            <w:shd w:val="clear" w:color="auto" w:fill="auto"/>
          </w:tcPr>
          <w:p w:rsidR="00411957" w:rsidRPr="004D188D" w:rsidRDefault="00411957" w:rsidP="00772279">
            <w:pPr>
              <w:jc w:val="left"/>
            </w:pPr>
            <w:r>
              <w:t>Approvazione indizione selezione pubblica per assunzione/incarico</w:t>
            </w:r>
          </w:p>
        </w:tc>
        <w:tc>
          <w:tcPr>
            <w:tcW w:w="2050" w:type="pct"/>
            <w:shd w:val="clear" w:color="auto" w:fill="auto"/>
          </w:tcPr>
          <w:p w:rsidR="00411957" w:rsidRDefault="00411957" w:rsidP="00772279">
            <w:pPr>
              <w:jc w:val="left"/>
            </w:pPr>
            <w:r>
              <w:t>AU</w:t>
            </w:r>
          </w:p>
        </w:tc>
      </w:tr>
      <w:tr w:rsidR="00411957" w:rsidRPr="004D188D" w:rsidTr="00772279">
        <w:tc>
          <w:tcPr>
            <w:tcW w:w="645" w:type="pct"/>
            <w:shd w:val="clear" w:color="auto" w:fill="auto"/>
          </w:tcPr>
          <w:p w:rsidR="00411957" w:rsidRDefault="00411957" w:rsidP="00772279">
            <w:r>
              <w:t>Attività</w:t>
            </w:r>
          </w:p>
        </w:tc>
        <w:tc>
          <w:tcPr>
            <w:tcW w:w="2305" w:type="pct"/>
            <w:shd w:val="clear" w:color="auto" w:fill="auto"/>
          </w:tcPr>
          <w:p w:rsidR="00411957" w:rsidRDefault="00411957" w:rsidP="00772279">
            <w:pPr>
              <w:jc w:val="left"/>
            </w:pPr>
            <w:r>
              <w:t>Svolgimento procedura, in coerenza Regolamento di organizzazione</w:t>
            </w:r>
          </w:p>
          <w:p w:rsidR="00411957" w:rsidRPr="004D188D" w:rsidRDefault="00411957" w:rsidP="00772279">
            <w:pPr>
              <w:jc w:val="left"/>
            </w:pPr>
            <w:r>
              <w:t>Approvazione esiti</w:t>
            </w:r>
          </w:p>
        </w:tc>
        <w:tc>
          <w:tcPr>
            <w:tcW w:w="2050" w:type="pct"/>
            <w:shd w:val="clear" w:color="auto" w:fill="auto"/>
          </w:tcPr>
          <w:p w:rsidR="00411957" w:rsidRDefault="00FA38E3" w:rsidP="00772279">
            <w:pPr>
              <w:jc w:val="left"/>
            </w:pPr>
            <w:r>
              <w:t>Direzione</w:t>
            </w:r>
          </w:p>
          <w:p w:rsidR="00411957" w:rsidRDefault="00411957" w:rsidP="00772279">
            <w:pPr>
              <w:jc w:val="left"/>
            </w:pPr>
          </w:p>
          <w:p w:rsidR="00411957" w:rsidRPr="004D188D" w:rsidRDefault="00411957" w:rsidP="00772279">
            <w:pPr>
              <w:jc w:val="left"/>
            </w:pPr>
            <w:r>
              <w:t>AU</w:t>
            </w:r>
          </w:p>
        </w:tc>
      </w:tr>
      <w:tr w:rsidR="00411957" w:rsidRPr="004D188D" w:rsidTr="00772279">
        <w:tc>
          <w:tcPr>
            <w:tcW w:w="645" w:type="pct"/>
            <w:shd w:val="clear" w:color="auto" w:fill="auto"/>
          </w:tcPr>
          <w:p w:rsidR="00411957" w:rsidRPr="004D188D" w:rsidRDefault="00411957" w:rsidP="00772279">
            <w:r>
              <w:t>Output</w:t>
            </w:r>
          </w:p>
        </w:tc>
        <w:tc>
          <w:tcPr>
            <w:tcW w:w="2305" w:type="pct"/>
            <w:shd w:val="clear" w:color="auto" w:fill="auto"/>
          </w:tcPr>
          <w:p w:rsidR="00411957" w:rsidRDefault="00411957" w:rsidP="00772279">
            <w:pPr>
              <w:jc w:val="left"/>
            </w:pPr>
            <w:r>
              <w:t>Stipula del Contratto</w:t>
            </w:r>
          </w:p>
          <w:p w:rsidR="00411957" w:rsidRDefault="00411957" w:rsidP="00772279">
            <w:pPr>
              <w:jc w:val="left"/>
            </w:pPr>
            <w:r>
              <w:t xml:space="preserve">Gestione economica e giuridica dei Contratti </w:t>
            </w:r>
          </w:p>
          <w:p w:rsidR="00B64604" w:rsidRPr="004D188D" w:rsidRDefault="00B64604" w:rsidP="00772279">
            <w:pPr>
              <w:jc w:val="left"/>
            </w:pPr>
            <w:r w:rsidRPr="00B64604">
              <w:rPr>
                <w:color w:val="C00000"/>
              </w:rPr>
              <w:t>Gestione vertenze sindacali</w:t>
            </w:r>
          </w:p>
        </w:tc>
        <w:tc>
          <w:tcPr>
            <w:tcW w:w="2050" w:type="pct"/>
            <w:shd w:val="clear" w:color="auto" w:fill="auto"/>
          </w:tcPr>
          <w:p w:rsidR="00411957" w:rsidRDefault="00411957" w:rsidP="00772279">
            <w:pPr>
              <w:jc w:val="left"/>
            </w:pPr>
            <w:r>
              <w:t>AU</w:t>
            </w:r>
            <w:r w:rsidR="00FA38E3">
              <w:t>/Direzione</w:t>
            </w:r>
          </w:p>
          <w:p w:rsidR="00411957" w:rsidRDefault="00411957" w:rsidP="00411957">
            <w:pPr>
              <w:jc w:val="left"/>
            </w:pPr>
            <w:r>
              <w:t>Amministrazione/Studio esterno</w:t>
            </w:r>
          </w:p>
          <w:p w:rsidR="00B64604" w:rsidRPr="004D188D" w:rsidRDefault="00B64604" w:rsidP="00411957">
            <w:pPr>
              <w:jc w:val="left"/>
            </w:pPr>
            <w:r w:rsidRPr="00B64604">
              <w:rPr>
                <w:color w:val="C00000"/>
              </w:rPr>
              <w:t>Amministrazione</w:t>
            </w:r>
          </w:p>
        </w:tc>
      </w:tr>
    </w:tbl>
    <w:p w:rsidR="00411957" w:rsidRDefault="00411957" w:rsidP="00411957"/>
    <w:p w:rsidR="00411957" w:rsidRDefault="00411957" w:rsidP="00411957">
      <w:r>
        <w:t>FATTORI ABILITANTI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758"/>
      </w:tblGrid>
      <w:tr w:rsidR="00411957" w:rsidRPr="004D188D" w:rsidTr="00772279">
        <w:tc>
          <w:tcPr>
            <w:tcW w:w="9322" w:type="dxa"/>
            <w:shd w:val="clear" w:color="auto" w:fill="auto"/>
          </w:tcPr>
          <w:p w:rsidR="00411957" w:rsidRPr="004D188D" w:rsidRDefault="00411957" w:rsidP="00772279">
            <w:r w:rsidRPr="004D188D">
              <w:t>Inadeguatezza o assenza di controlli</w:t>
            </w:r>
          </w:p>
        </w:tc>
        <w:tc>
          <w:tcPr>
            <w:tcW w:w="758" w:type="dxa"/>
            <w:shd w:val="clear" w:color="auto" w:fill="auto"/>
          </w:tcPr>
          <w:p w:rsidR="00411957" w:rsidRPr="004D188D" w:rsidRDefault="00411957" w:rsidP="00772279">
            <w:pPr>
              <w:jc w:val="center"/>
            </w:pPr>
          </w:p>
        </w:tc>
      </w:tr>
      <w:tr w:rsidR="00411957" w:rsidRPr="004D188D" w:rsidTr="00772279">
        <w:tc>
          <w:tcPr>
            <w:tcW w:w="9322" w:type="dxa"/>
            <w:shd w:val="clear" w:color="auto" w:fill="auto"/>
          </w:tcPr>
          <w:p w:rsidR="00411957" w:rsidRPr="004D188D" w:rsidRDefault="00411957" w:rsidP="00772279">
            <w:r w:rsidRPr="004D188D">
              <w:t>Inadeguatezza o assenza di trasparenza</w:t>
            </w:r>
            <w:r>
              <w:t xml:space="preserve"> - potenziale</w:t>
            </w:r>
          </w:p>
        </w:tc>
        <w:tc>
          <w:tcPr>
            <w:tcW w:w="758" w:type="dxa"/>
            <w:shd w:val="clear" w:color="auto" w:fill="auto"/>
          </w:tcPr>
          <w:p w:rsidR="00411957" w:rsidRPr="004D188D" w:rsidRDefault="00411957" w:rsidP="00772279">
            <w:pPr>
              <w:jc w:val="center"/>
            </w:pPr>
          </w:p>
        </w:tc>
      </w:tr>
      <w:tr w:rsidR="00411957" w:rsidRPr="004D188D" w:rsidTr="00772279">
        <w:tc>
          <w:tcPr>
            <w:tcW w:w="9322" w:type="dxa"/>
            <w:shd w:val="clear" w:color="auto" w:fill="auto"/>
          </w:tcPr>
          <w:p w:rsidR="00411957" w:rsidRPr="004D188D" w:rsidRDefault="00411957" w:rsidP="00772279">
            <w:r w:rsidRPr="004D188D">
              <w:t>Eccessiva regolamentazione, complessità e scarsa chiarezza della normativa di riferimento, ovvero scarsa o</w:t>
            </w:r>
          </w:p>
        </w:tc>
        <w:tc>
          <w:tcPr>
            <w:tcW w:w="758" w:type="dxa"/>
            <w:shd w:val="clear" w:color="auto" w:fill="auto"/>
          </w:tcPr>
          <w:p w:rsidR="00411957" w:rsidRPr="004D188D" w:rsidRDefault="00411957" w:rsidP="00772279">
            <w:pPr>
              <w:jc w:val="center"/>
            </w:pPr>
          </w:p>
        </w:tc>
      </w:tr>
      <w:tr w:rsidR="00411957" w:rsidRPr="004D188D" w:rsidTr="00772279">
        <w:tc>
          <w:tcPr>
            <w:tcW w:w="9322" w:type="dxa"/>
            <w:shd w:val="clear" w:color="auto" w:fill="auto"/>
          </w:tcPr>
          <w:p w:rsidR="00411957" w:rsidRPr="004D188D" w:rsidRDefault="00411957" w:rsidP="00772279">
            <w:r>
              <w:t>I</w:t>
            </w:r>
            <w:r w:rsidRPr="004D188D">
              <w:t>nsufficiente regolamentazione interna</w:t>
            </w:r>
          </w:p>
        </w:tc>
        <w:tc>
          <w:tcPr>
            <w:tcW w:w="758" w:type="dxa"/>
            <w:shd w:val="clear" w:color="auto" w:fill="auto"/>
          </w:tcPr>
          <w:p w:rsidR="00411957" w:rsidRPr="004D188D" w:rsidRDefault="00411957" w:rsidP="00772279">
            <w:pPr>
              <w:jc w:val="center"/>
            </w:pPr>
          </w:p>
        </w:tc>
      </w:tr>
      <w:tr w:rsidR="00411957" w:rsidRPr="004D188D" w:rsidTr="00772279">
        <w:tc>
          <w:tcPr>
            <w:tcW w:w="9322" w:type="dxa"/>
            <w:shd w:val="clear" w:color="auto" w:fill="auto"/>
          </w:tcPr>
          <w:p w:rsidR="00411957" w:rsidRPr="004D188D" w:rsidRDefault="00411957" w:rsidP="00772279">
            <w:r w:rsidRPr="004D188D">
              <w:t>Esercizio prolungato ed esclusivo della responsabilità di un processo da parte di pochi o di un unico soggetto</w:t>
            </w:r>
          </w:p>
        </w:tc>
        <w:tc>
          <w:tcPr>
            <w:tcW w:w="758" w:type="dxa"/>
            <w:shd w:val="clear" w:color="auto" w:fill="auto"/>
          </w:tcPr>
          <w:p w:rsidR="00411957" w:rsidRPr="004D188D" w:rsidRDefault="00411957" w:rsidP="00772279">
            <w:pPr>
              <w:jc w:val="center"/>
            </w:pPr>
            <w:r>
              <w:t>X</w:t>
            </w:r>
          </w:p>
        </w:tc>
      </w:tr>
      <w:tr w:rsidR="00411957" w:rsidRPr="004D188D" w:rsidTr="00772279">
        <w:tc>
          <w:tcPr>
            <w:tcW w:w="9322" w:type="dxa"/>
            <w:shd w:val="clear" w:color="auto" w:fill="auto"/>
          </w:tcPr>
          <w:p w:rsidR="00411957" w:rsidRPr="004D188D" w:rsidRDefault="00411957" w:rsidP="00772279">
            <w:r w:rsidRPr="004D188D">
              <w:t>Scarsa responsabilizzazione interna</w:t>
            </w:r>
          </w:p>
        </w:tc>
        <w:tc>
          <w:tcPr>
            <w:tcW w:w="758" w:type="dxa"/>
            <w:shd w:val="clear" w:color="auto" w:fill="auto"/>
          </w:tcPr>
          <w:p w:rsidR="00411957" w:rsidRPr="00B64604" w:rsidRDefault="00B64604" w:rsidP="00772279">
            <w:pPr>
              <w:jc w:val="center"/>
              <w:rPr>
                <w:color w:val="C00000"/>
              </w:rPr>
            </w:pPr>
            <w:r w:rsidRPr="00B64604">
              <w:rPr>
                <w:color w:val="C00000"/>
              </w:rPr>
              <w:t>X</w:t>
            </w:r>
          </w:p>
        </w:tc>
      </w:tr>
      <w:tr w:rsidR="00411957" w:rsidRPr="004D188D" w:rsidTr="00772279">
        <w:tc>
          <w:tcPr>
            <w:tcW w:w="9322" w:type="dxa"/>
            <w:shd w:val="clear" w:color="auto" w:fill="auto"/>
          </w:tcPr>
          <w:p w:rsidR="00411957" w:rsidRPr="004D188D" w:rsidRDefault="00411957" w:rsidP="00772279">
            <w:r w:rsidRPr="004D188D">
              <w:lastRenderedPageBreak/>
              <w:t>Inadeguatezza o assenza di competenze del personale addetto al processo</w:t>
            </w:r>
          </w:p>
        </w:tc>
        <w:tc>
          <w:tcPr>
            <w:tcW w:w="758" w:type="dxa"/>
            <w:shd w:val="clear" w:color="auto" w:fill="auto"/>
          </w:tcPr>
          <w:p w:rsidR="00411957" w:rsidRPr="00B64604" w:rsidRDefault="00B64604" w:rsidP="00772279">
            <w:pPr>
              <w:jc w:val="center"/>
              <w:rPr>
                <w:color w:val="C00000"/>
              </w:rPr>
            </w:pPr>
            <w:r w:rsidRPr="00B64604">
              <w:rPr>
                <w:color w:val="C00000"/>
              </w:rPr>
              <w:t>X</w:t>
            </w:r>
          </w:p>
        </w:tc>
      </w:tr>
      <w:tr w:rsidR="00411957" w:rsidRPr="004D188D" w:rsidTr="00772279">
        <w:tc>
          <w:tcPr>
            <w:tcW w:w="9322" w:type="dxa"/>
            <w:shd w:val="clear" w:color="auto" w:fill="auto"/>
          </w:tcPr>
          <w:p w:rsidR="00411957" w:rsidRPr="004D188D" w:rsidRDefault="00411957" w:rsidP="00772279">
            <w:r w:rsidRPr="004D188D">
              <w:t>Inadeguata diffusione della cultura della legalità</w:t>
            </w:r>
          </w:p>
        </w:tc>
        <w:tc>
          <w:tcPr>
            <w:tcW w:w="758" w:type="dxa"/>
            <w:shd w:val="clear" w:color="auto" w:fill="auto"/>
          </w:tcPr>
          <w:p w:rsidR="00411957" w:rsidRPr="004D188D" w:rsidRDefault="00411957" w:rsidP="00772279">
            <w:pPr>
              <w:jc w:val="center"/>
            </w:pPr>
          </w:p>
        </w:tc>
      </w:tr>
      <w:tr w:rsidR="00411957" w:rsidRPr="004D188D" w:rsidTr="00772279">
        <w:tc>
          <w:tcPr>
            <w:tcW w:w="9322" w:type="dxa"/>
            <w:shd w:val="clear" w:color="auto" w:fill="auto"/>
          </w:tcPr>
          <w:p w:rsidR="00411957" w:rsidRPr="004D188D" w:rsidRDefault="00411957" w:rsidP="00772279">
            <w:r w:rsidRPr="004D188D">
              <w:t>Mancata attuazione del principio di separazione tra politica e gestione</w:t>
            </w:r>
          </w:p>
        </w:tc>
        <w:tc>
          <w:tcPr>
            <w:tcW w:w="758" w:type="dxa"/>
            <w:shd w:val="clear" w:color="auto" w:fill="auto"/>
          </w:tcPr>
          <w:p w:rsidR="00411957" w:rsidRPr="004D188D" w:rsidRDefault="00411957" w:rsidP="00772279">
            <w:pPr>
              <w:jc w:val="center"/>
            </w:pPr>
          </w:p>
        </w:tc>
      </w:tr>
      <w:tr w:rsidR="00411957" w:rsidRPr="004D188D" w:rsidTr="00772279">
        <w:tc>
          <w:tcPr>
            <w:tcW w:w="9322" w:type="dxa"/>
            <w:shd w:val="clear" w:color="auto" w:fill="auto"/>
          </w:tcPr>
          <w:p w:rsidR="00411957" w:rsidRPr="004D188D" w:rsidRDefault="00411957" w:rsidP="00772279">
            <w:r w:rsidRPr="004D188D">
              <w:t>Conflitto di interessi in capo ai titolari del procedimento</w:t>
            </w:r>
            <w:r>
              <w:t xml:space="preserve"> – potenziale</w:t>
            </w:r>
          </w:p>
        </w:tc>
        <w:tc>
          <w:tcPr>
            <w:tcW w:w="758" w:type="dxa"/>
            <w:shd w:val="clear" w:color="auto" w:fill="auto"/>
          </w:tcPr>
          <w:p w:rsidR="00411957" w:rsidRPr="004D188D" w:rsidRDefault="00411957" w:rsidP="00772279">
            <w:pPr>
              <w:jc w:val="center"/>
            </w:pPr>
            <w:r>
              <w:t>X</w:t>
            </w:r>
          </w:p>
        </w:tc>
      </w:tr>
    </w:tbl>
    <w:p w:rsidR="00411957" w:rsidRDefault="00411957" w:rsidP="00411957">
      <w:pPr>
        <w:rPr>
          <w:noProof/>
        </w:rPr>
      </w:pPr>
    </w:p>
    <w:p w:rsidR="00411957" w:rsidRDefault="00411957" w:rsidP="00411957">
      <w:pPr>
        <w:tabs>
          <w:tab w:val="left" w:pos="426"/>
        </w:tabs>
        <w:rPr>
          <w:rFonts w:cs="Calibri"/>
          <w:noProof/>
          <w:color w:val="FFC000"/>
          <w:szCs w:val="20"/>
        </w:rPr>
      </w:pPr>
    </w:p>
    <w:p w:rsidR="00411957" w:rsidRPr="00C22A36" w:rsidRDefault="00411957" w:rsidP="00411957">
      <w:pPr>
        <w:tabs>
          <w:tab w:val="left" w:pos="426"/>
        </w:tabs>
        <w:rPr>
          <w:rFonts w:cs="Calibri"/>
          <w:noProof/>
          <w:color w:val="FFC000"/>
          <w:szCs w:val="20"/>
        </w:rPr>
      </w:pPr>
    </w:p>
    <w:p w:rsidR="00133ED3" w:rsidRPr="00E606E6" w:rsidRDefault="00133ED3" w:rsidP="003D6F27">
      <w:pPr>
        <w:pStyle w:val="Titolo3"/>
      </w:pPr>
      <w:bookmarkStart w:id="108" w:name="_Toc101602022"/>
      <w:r w:rsidRPr="00E606E6">
        <w:t>G.4.1.B. Provvedimenti ampliativi della sfera giuridica senza effetto economico diretto ed immediato (es. autorizzazioni e concessioni, etc.)</w:t>
      </w:r>
      <w:bookmarkEnd w:id="105"/>
      <w:bookmarkEnd w:id="106"/>
      <w:bookmarkEnd w:id="107"/>
      <w:bookmarkEnd w:id="108"/>
    </w:p>
    <w:p w:rsidR="00C22A36" w:rsidRDefault="00133ED3" w:rsidP="0049154B">
      <w:pPr>
        <w:rPr>
          <w:rFonts w:cs="Calibri"/>
          <w:noProof/>
          <w:szCs w:val="20"/>
        </w:rPr>
      </w:pPr>
      <w:r w:rsidRPr="00B67FEC">
        <w:rPr>
          <w:rFonts w:cs="Calibri"/>
          <w:noProof/>
          <w:szCs w:val="20"/>
        </w:rPr>
        <w:t>Numero di processi mappati per l'area di rischio</w:t>
      </w:r>
      <w:r w:rsidR="00187ED9" w:rsidRPr="00B67FEC">
        <w:rPr>
          <w:rFonts w:cs="Calibri"/>
          <w:noProof/>
          <w:szCs w:val="20"/>
        </w:rPr>
        <w:t xml:space="preserve">: </w:t>
      </w:r>
      <w:r w:rsidR="00FA38E3">
        <w:rPr>
          <w:rFonts w:cs="Calibri"/>
          <w:noProof/>
          <w:szCs w:val="20"/>
        </w:rPr>
        <w:t>3</w:t>
      </w:r>
    </w:p>
    <w:p w:rsidR="00C22A36" w:rsidRPr="00B67FEC" w:rsidRDefault="00C22A36" w:rsidP="0049154B">
      <w:pPr>
        <w:rPr>
          <w:rFonts w:cs="Calibri"/>
          <w:noProof/>
          <w:szCs w:val="20"/>
        </w:rPr>
      </w:pPr>
      <w:r w:rsidRPr="00C22A36">
        <w:rPr>
          <w:rFonts w:cs="Calibri"/>
          <w:noProof/>
          <w:szCs w:val="20"/>
        </w:rPr>
        <w:t>PROVVEDIMENTI DI TIPO AUTORIZZATIVO / DICHIARATIVO</w:t>
      </w:r>
    </w:p>
    <w:p w:rsidR="00732861" w:rsidRPr="00732861" w:rsidRDefault="00732861" w:rsidP="00C22A36">
      <w:pPr>
        <w:numPr>
          <w:ilvl w:val="1"/>
          <w:numId w:val="5"/>
        </w:numPr>
        <w:tabs>
          <w:tab w:val="left" w:pos="426"/>
        </w:tabs>
        <w:rPr>
          <w:rFonts w:cs="Calibri"/>
          <w:noProof/>
          <w:color w:val="C00000"/>
          <w:szCs w:val="20"/>
        </w:rPr>
      </w:pPr>
      <w:bookmarkStart w:id="109" w:name="_Toc28966888"/>
      <w:bookmarkStart w:id="110" w:name="_Toc28967108"/>
      <w:bookmarkStart w:id="111" w:name="_Toc28967361"/>
      <w:r w:rsidRPr="00732861">
        <w:rPr>
          <w:rFonts w:cs="Calibri"/>
          <w:noProof/>
          <w:color w:val="FFC000"/>
          <w:szCs w:val="20"/>
        </w:rPr>
        <w:t>5 Gestione servizi assistenziali (Protoc</w:t>
      </w:r>
      <w:r>
        <w:rPr>
          <w:rFonts w:cs="Calibri"/>
          <w:noProof/>
          <w:color w:val="FFC000"/>
          <w:szCs w:val="20"/>
        </w:rPr>
        <w:t>o</w:t>
      </w:r>
      <w:r w:rsidRPr="00732861">
        <w:rPr>
          <w:rFonts w:cs="Calibri"/>
          <w:noProof/>
          <w:color w:val="FFC000"/>
          <w:szCs w:val="20"/>
        </w:rPr>
        <w:t>llo 10 MOG 231)</w:t>
      </w:r>
    </w:p>
    <w:p w:rsidR="00732861" w:rsidRDefault="00732861" w:rsidP="00C22A36">
      <w:pPr>
        <w:numPr>
          <w:ilvl w:val="1"/>
          <w:numId w:val="5"/>
        </w:numPr>
        <w:tabs>
          <w:tab w:val="left" w:pos="426"/>
        </w:tabs>
        <w:rPr>
          <w:rFonts w:cs="Calibri"/>
          <w:noProof/>
          <w:color w:val="C00000"/>
          <w:szCs w:val="20"/>
        </w:rPr>
      </w:pPr>
      <w:r w:rsidRPr="00732861">
        <w:rPr>
          <w:rFonts w:cs="Calibri"/>
          <w:noProof/>
          <w:color w:val="C00000"/>
          <w:szCs w:val="20"/>
        </w:rPr>
        <w:t>6 Distribuzione farmaci a carico del SSN (Protocollo 11 MOG 231)</w:t>
      </w:r>
    </w:p>
    <w:p w:rsidR="00584D08" w:rsidRDefault="00732861" w:rsidP="00732861">
      <w:pPr>
        <w:numPr>
          <w:ilvl w:val="1"/>
          <w:numId w:val="5"/>
        </w:numPr>
        <w:tabs>
          <w:tab w:val="left" w:pos="426"/>
        </w:tabs>
        <w:rPr>
          <w:rFonts w:cs="Calibri"/>
          <w:noProof/>
          <w:color w:val="C00000"/>
          <w:szCs w:val="20"/>
        </w:rPr>
      </w:pPr>
      <w:r w:rsidRPr="00732861">
        <w:rPr>
          <w:rFonts w:cs="Calibri"/>
          <w:noProof/>
          <w:color w:val="C00000"/>
          <w:szCs w:val="20"/>
        </w:rPr>
        <w:t>7 Gestione dei farmaci stupefacenti (Protocollo 12 MOG 231)</w:t>
      </w:r>
    </w:p>
    <w:p w:rsidR="00732861" w:rsidRDefault="00732861" w:rsidP="00584D08"/>
    <w:p w:rsidR="00584D08" w:rsidRDefault="00584D08" w:rsidP="00584D08">
      <w:r>
        <w:t>MAPPATURA PROCESSO</w:t>
      </w:r>
      <w:r>
        <w:tab/>
      </w:r>
      <w:r>
        <w:tab/>
      </w:r>
      <w:r>
        <w:tab/>
      </w:r>
      <w:r>
        <w:tab/>
      </w:r>
      <w:r>
        <w:tab/>
      </w:r>
      <w:r>
        <w:tab/>
      </w:r>
      <w:r>
        <w:tab/>
        <w:t xml:space="preserve">  RESPONSABILITA’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4647"/>
        <w:gridCol w:w="4133"/>
      </w:tblGrid>
      <w:tr w:rsidR="00584D08" w:rsidRPr="004D188D" w:rsidTr="00772279">
        <w:tc>
          <w:tcPr>
            <w:tcW w:w="645" w:type="pct"/>
            <w:shd w:val="clear" w:color="auto" w:fill="auto"/>
          </w:tcPr>
          <w:p w:rsidR="00584D08" w:rsidRPr="004D188D" w:rsidRDefault="00584D08" w:rsidP="00772279">
            <w:r>
              <w:t>Input</w:t>
            </w:r>
          </w:p>
        </w:tc>
        <w:tc>
          <w:tcPr>
            <w:tcW w:w="2305" w:type="pct"/>
            <w:shd w:val="clear" w:color="auto" w:fill="auto"/>
          </w:tcPr>
          <w:p w:rsidR="00584D08" w:rsidRDefault="00584D08" w:rsidP="00772279">
            <w:pPr>
              <w:jc w:val="left"/>
            </w:pPr>
            <w:r>
              <w:t>Istanza di ammissione</w:t>
            </w:r>
          </w:p>
          <w:p w:rsidR="00584D08" w:rsidRDefault="00584D08" w:rsidP="00772279">
            <w:pPr>
              <w:jc w:val="left"/>
            </w:pPr>
          </w:p>
          <w:p w:rsidR="00584D08" w:rsidRDefault="00584D08" w:rsidP="00772279">
            <w:pPr>
              <w:jc w:val="left"/>
            </w:pPr>
            <w:r>
              <w:t>Cliente</w:t>
            </w:r>
          </w:p>
          <w:p w:rsidR="00584D08" w:rsidRPr="004D188D" w:rsidRDefault="00584D08" w:rsidP="00772279">
            <w:pPr>
              <w:jc w:val="left"/>
            </w:pPr>
            <w:r>
              <w:t>Magazzino stupefacenti</w:t>
            </w:r>
          </w:p>
        </w:tc>
        <w:tc>
          <w:tcPr>
            <w:tcW w:w="2050" w:type="pct"/>
            <w:shd w:val="clear" w:color="auto" w:fill="auto"/>
          </w:tcPr>
          <w:p w:rsidR="00584D08" w:rsidRDefault="00584D08" w:rsidP="00772279">
            <w:pPr>
              <w:jc w:val="left"/>
            </w:pPr>
            <w:r>
              <w:t>Comune (Servizi Sociali)</w:t>
            </w:r>
          </w:p>
          <w:p w:rsidR="00584D08" w:rsidRDefault="00584D08" w:rsidP="00584D08">
            <w:pPr>
              <w:jc w:val="left"/>
            </w:pPr>
            <w:r>
              <w:t>Singolo utente</w:t>
            </w:r>
          </w:p>
          <w:p w:rsidR="00584D08" w:rsidRDefault="00584D08" w:rsidP="00584D08">
            <w:pPr>
              <w:jc w:val="left"/>
            </w:pPr>
            <w:r>
              <w:t>Farmacia</w:t>
            </w:r>
          </w:p>
          <w:p w:rsidR="00584D08" w:rsidRDefault="00584D08" w:rsidP="00584D08">
            <w:pPr>
              <w:jc w:val="left"/>
            </w:pPr>
            <w:r>
              <w:t>Direttore Farmacia</w:t>
            </w:r>
          </w:p>
        </w:tc>
      </w:tr>
      <w:tr w:rsidR="00584D08" w:rsidRPr="004D188D" w:rsidTr="00772279">
        <w:tc>
          <w:tcPr>
            <w:tcW w:w="645" w:type="pct"/>
            <w:shd w:val="clear" w:color="auto" w:fill="auto"/>
          </w:tcPr>
          <w:p w:rsidR="00584D08" w:rsidRDefault="00584D08" w:rsidP="00772279">
            <w:r>
              <w:t>Attività</w:t>
            </w:r>
          </w:p>
        </w:tc>
        <w:tc>
          <w:tcPr>
            <w:tcW w:w="2305" w:type="pct"/>
            <w:shd w:val="clear" w:color="auto" w:fill="auto"/>
          </w:tcPr>
          <w:p w:rsidR="00584D08" w:rsidRDefault="00584D08" w:rsidP="00772279">
            <w:pPr>
              <w:jc w:val="left"/>
            </w:pPr>
            <w:r w:rsidRPr="00BB43FD">
              <w:t>Svolgimento procedura</w:t>
            </w:r>
          </w:p>
          <w:p w:rsidR="00584D08" w:rsidRDefault="00584D08" w:rsidP="00772279">
            <w:pPr>
              <w:jc w:val="left"/>
            </w:pPr>
          </w:p>
          <w:p w:rsidR="00FA38E3" w:rsidRDefault="00FA38E3" w:rsidP="00772279">
            <w:pPr>
              <w:jc w:val="left"/>
            </w:pPr>
          </w:p>
          <w:p w:rsidR="00FA38E3" w:rsidRDefault="00FA38E3" w:rsidP="00772279">
            <w:pPr>
              <w:jc w:val="left"/>
            </w:pPr>
            <w:r>
              <w:t>Distribuzione farmaci – carico/scarico</w:t>
            </w:r>
          </w:p>
          <w:p w:rsidR="00584D08" w:rsidRDefault="00584D08" w:rsidP="00772279">
            <w:pPr>
              <w:jc w:val="left"/>
            </w:pPr>
            <w:r>
              <w:t>Distribuzione</w:t>
            </w:r>
            <w:r w:rsidR="00810AC8">
              <w:t xml:space="preserve"> farmaci carico SSN – carico/scarico</w:t>
            </w:r>
          </w:p>
          <w:p w:rsidR="00810AC8" w:rsidRPr="004D188D" w:rsidRDefault="00810AC8" w:rsidP="00772279">
            <w:pPr>
              <w:jc w:val="left"/>
            </w:pPr>
            <w:r>
              <w:t>Gestione farmaci stupefacenti – carico/scarico, registrazione</w:t>
            </w:r>
          </w:p>
        </w:tc>
        <w:tc>
          <w:tcPr>
            <w:tcW w:w="2050" w:type="pct"/>
            <w:shd w:val="clear" w:color="auto" w:fill="auto"/>
          </w:tcPr>
          <w:p w:rsidR="00584D08" w:rsidRDefault="00584D08" w:rsidP="00772279">
            <w:pPr>
              <w:jc w:val="left"/>
            </w:pPr>
            <w:r>
              <w:t xml:space="preserve">Servizi </w:t>
            </w:r>
            <w:proofErr w:type="spellStart"/>
            <w:r w:rsidR="00FA38E3">
              <w:t>Socioassistenziali</w:t>
            </w:r>
            <w:proofErr w:type="spellEnd"/>
            <w:r w:rsidRPr="00BB43FD">
              <w:t>, per competenza, illustrazione sul sito web modalità di accesso al procedimento</w:t>
            </w:r>
          </w:p>
          <w:p w:rsidR="00FA38E3" w:rsidRDefault="00FA38E3" w:rsidP="00772279">
            <w:pPr>
              <w:jc w:val="left"/>
            </w:pPr>
            <w:r>
              <w:t>Farmacia</w:t>
            </w:r>
          </w:p>
          <w:p w:rsidR="00810AC8" w:rsidRDefault="00810AC8" w:rsidP="00772279">
            <w:pPr>
              <w:jc w:val="left"/>
            </w:pPr>
            <w:r>
              <w:t>Farmacia</w:t>
            </w:r>
          </w:p>
          <w:p w:rsidR="00FA38E3" w:rsidRDefault="00FA38E3" w:rsidP="00772279">
            <w:pPr>
              <w:jc w:val="left"/>
            </w:pPr>
          </w:p>
          <w:p w:rsidR="00810AC8" w:rsidRPr="004D188D" w:rsidRDefault="00810AC8" w:rsidP="00772279">
            <w:pPr>
              <w:jc w:val="left"/>
            </w:pPr>
            <w:r>
              <w:t>Direttore Farmacia</w:t>
            </w:r>
          </w:p>
        </w:tc>
      </w:tr>
      <w:tr w:rsidR="00584D08" w:rsidRPr="004D188D" w:rsidTr="00772279">
        <w:tc>
          <w:tcPr>
            <w:tcW w:w="645" w:type="pct"/>
            <w:shd w:val="clear" w:color="auto" w:fill="auto"/>
          </w:tcPr>
          <w:p w:rsidR="00584D08" w:rsidRPr="004D188D" w:rsidRDefault="00584D08" w:rsidP="00772279">
            <w:r>
              <w:t>Output</w:t>
            </w:r>
          </w:p>
        </w:tc>
        <w:tc>
          <w:tcPr>
            <w:tcW w:w="2305" w:type="pct"/>
            <w:shd w:val="clear" w:color="auto" w:fill="auto"/>
          </w:tcPr>
          <w:p w:rsidR="00584D08" w:rsidRDefault="00584D08" w:rsidP="00772279">
            <w:pPr>
              <w:jc w:val="left"/>
            </w:pPr>
            <w:r>
              <w:t>Ammissione</w:t>
            </w:r>
            <w:r w:rsidRPr="00664377">
              <w:t xml:space="preserve"> ovvero diniego</w:t>
            </w:r>
          </w:p>
          <w:p w:rsidR="00810AC8" w:rsidRPr="004D188D" w:rsidRDefault="00810AC8" w:rsidP="00772279">
            <w:pPr>
              <w:jc w:val="left"/>
            </w:pPr>
            <w:r>
              <w:t>Distribuzione farmaci</w:t>
            </w:r>
          </w:p>
        </w:tc>
        <w:tc>
          <w:tcPr>
            <w:tcW w:w="2050" w:type="pct"/>
            <w:shd w:val="clear" w:color="auto" w:fill="auto"/>
          </w:tcPr>
          <w:p w:rsidR="00584D08" w:rsidRDefault="00584D08" w:rsidP="00772279">
            <w:pPr>
              <w:jc w:val="left"/>
            </w:pPr>
            <w:r w:rsidRPr="00664377">
              <w:t>Ufficio competente per evasione pratica</w:t>
            </w:r>
          </w:p>
          <w:p w:rsidR="00810AC8" w:rsidRPr="004D188D" w:rsidRDefault="00810AC8" w:rsidP="00772279">
            <w:pPr>
              <w:jc w:val="left"/>
            </w:pPr>
            <w:r>
              <w:t>Farmacia</w:t>
            </w:r>
          </w:p>
        </w:tc>
      </w:tr>
    </w:tbl>
    <w:p w:rsidR="00584D08" w:rsidRDefault="00584D08" w:rsidP="00584D08"/>
    <w:p w:rsidR="00584D08" w:rsidRDefault="00584D08" w:rsidP="00584D08">
      <w:r>
        <w:t>FATTORI ABILITANTI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758"/>
      </w:tblGrid>
      <w:tr w:rsidR="00584D08" w:rsidRPr="004D188D" w:rsidTr="00772279">
        <w:tc>
          <w:tcPr>
            <w:tcW w:w="9322" w:type="dxa"/>
            <w:shd w:val="clear" w:color="auto" w:fill="auto"/>
          </w:tcPr>
          <w:p w:rsidR="00584D08" w:rsidRPr="004D188D" w:rsidRDefault="00584D08" w:rsidP="00772279">
            <w:r w:rsidRPr="004D188D">
              <w:t>Inadeguatezza o assenza di controlli</w:t>
            </w:r>
          </w:p>
        </w:tc>
        <w:tc>
          <w:tcPr>
            <w:tcW w:w="758" w:type="dxa"/>
            <w:shd w:val="clear" w:color="auto" w:fill="auto"/>
          </w:tcPr>
          <w:p w:rsidR="00584D08" w:rsidRPr="004D188D" w:rsidRDefault="00584D08" w:rsidP="00772279">
            <w:pPr>
              <w:jc w:val="center"/>
            </w:pPr>
          </w:p>
        </w:tc>
      </w:tr>
      <w:tr w:rsidR="00584D08" w:rsidRPr="004D188D" w:rsidTr="00772279">
        <w:tc>
          <w:tcPr>
            <w:tcW w:w="9322" w:type="dxa"/>
            <w:shd w:val="clear" w:color="auto" w:fill="auto"/>
          </w:tcPr>
          <w:p w:rsidR="00584D08" w:rsidRPr="004D188D" w:rsidRDefault="00584D08" w:rsidP="00772279">
            <w:r w:rsidRPr="004D188D">
              <w:t>Inadeguatezza o assenza di trasparenza</w:t>
            </w:r>
            <w:r>
              <w:t xml:space="preserve"> - potenziale</w:t>
            </w:r>
          </w:p>
        </w:tc>
        <w:tc>
          <w:tcPr>
            <w:tcW w:w="758" w:type="dxa"/>
            <w:shd w:val="clear" w:color="auto" w:fill="auto"/>
          </w:tcPr>
          <w:p w:rsidR="00584D08" w:rsidRPr="004D188D" w:rsidRDefault="00584D08" w:rsidP="00772279">
            <w:pPr>
              <w:jc w:val="center"/>
            </w:pPr>
          </w:p>
        </w:tc>
      </w:tr>
      <w:tr w:rsidR="00584D08" w:rsidRPr="004D188D" w:rsidTr="00772279">
        <w:tc>
          <w:tcPr>
            <w:tcW w:w="9322" w:type="dxa"/>
            <w:shd w:val="clear" w:color="auto" w:fill="auto"/>
          </w:tcPr>
          <w:p w:rsidR="00584D08" w:rsidRPr="004D188D" w:rsidRDefault="00584D08" w:rsidP="00772279">
            <w:r w:rsidRPr="004D188D">
              <w:t>Eccessiva regolamentazione, complessità e scarsa chiarezza della normativa di riferimento</w:t>
            </w:r>
            <w:r>
              <w:t xml:space="preserve"> – esterna (regionali, nazionali, UE)</w:t>
            </w:r>
            <w:r w:rsidRPr="004D188D">
              <w:t>, ovvero scarsa o</w:t>
            </w:r>
          </w:p>
        </w:tc>
        <w:tc>
          <w:tcPr>
            <w:tcW w:w="758" w:type="dxa"/>
            <w:shd w:val="clear" w:color="auto" w:fill="auto"/>
          </w:tcPr>
          <w:p w:rsidR="00584D08" w:rsidRPr="004D188D" w:rsidRDefault="00584D08" w:rsidP="00772279">
            <w:pPr>
              <w:jc w:val="center"/>
            </w:pPr>
            <w:r w:rsidRPr="00C94B21">
              <w:t>X</w:t>
            </w:r>
          </w:p>
        </w:tc>
      </w:tr>
      <w:tr w:rsidR="00584D08" w:rsidRPr="004D188D" w:rsidTr="00772279">
        <w:tc>
          <w:tcPr>
            <w:tcW w:w="9322" w:type="dxa"/>
            <w:shd w:val="clear" w:color="auto" w:fill="auto"/>
          </w:tcPr>
          <w:p w:rsidR="00584D08" w:rsidRPr="004D188D" w:rsidRDefault="00584D08" w:rsidP="00772279">
            <w:r>
              <w:t>I</w:t>
            </w:r>
            <w:r w:rsidRPr="004D188D">
              <w:t>nsufficiente regolamentazione interna</w:t>
            </w:r>
          </w:p>
        </w:tc>
        <w:tc>
          <w:tcPr>
            <w:tcW w:w="758" w:type="dxa"/>
            <w:shd w:val="clear" w:color="auto" w:fill="auto"/>
          </w:tcPr>
          <w:p w:rsidR="00584D08" w:rsidRPr="004D188D" w:rsidRDefault="00584D08" w:rsidP="00772279">
            <w:pPr>
              <w:jc w:val="center"/>
            </w:pPr>
          </w:p>
        </w:tc>
      </w:tr>
      <w:tr w:rsidR="00584D08" w:rsidRPr="004D188D" w:rsidTr="00772279">
        <w:tc>
          <w:tcPr>
            <w:tcW w:w="9322" w:type="dxa"/>
            <w:shd w:val="clear" w:color="auto" w:fill="auto"/>
          </w:tcPr>
          <w:p w:rsidR="00584D08" w:rsidRPr="004D188D" w:rsidRDefault="00584D08" w:rsidP="00772279">
            <w:r w:rsidRPr="004D188D">
              <w:t>Esercizio prolungato ed esclusivo della responsabilità di un processo da parte di pochi o di un unico soggetto</w:t>
            </w:r>
          </w:p>
        </w:tc>
        <w:tc>
          <w:tcPr>
            <w:tcW w:w="758" w:type="dxa"/>
            <w:shd w:val="clear" w:color="auto" w:fill="auto"/>
          </w:tcPr>
          <w:p w:rsidR="00584D08" w:rsidRPr="004D188D" w:rsidRDefault="00584D08" w:rsidP="00772279">
            <w:pPr>
              <w:jc w:val="center"/>
            </w:pPr>
            <w:r w:rsidRPr="00C94B21">
              <w:t>X</w:t>
            </w:r>
          </w:p>
        </w:tc>
      </w:tr>
      <w:tr w:rsidR="00584D08" w:rsidRPr="004D188D" w:rsidTr="00772279">
        <w:tc>
          <w:tcPr>
            <w:tcW w:w="9322" w:type="dxa"/>
            <w:shd w:val="clear" w:color="auto" w:fill="auto"/>
          </w:tcPr>
          <w:p w:rsidR="00584D08" w:rsidRPr="004D188D" w:rsidRDefault="00584D08" w:rsidP="00772279">
            <w:r w:rsidRPr="004D188D">
              <w:lastRenderedPageBreak/>
              <w:t>Scarsa responsabilizzazione interna</w:t>
            </w:r>
          </w:p>
        </w:tc>
        <w:tc>
          <w:tcPr>
            <w:tcW w:w="758" w:type="dxa"/>
            <w:shd w:val="clear" w:color="auto" w:fill="auto"/>
          </w:tcPr>
          <w:p w:rsidR="00584D08" w:rsidRPr="004D188D" w:rsidRDefault="00584D08" w:rsidP="00772279">
            <w:pPr>
              <w:jc w:val="center"/>
            </w:pPr>
          </w:p>
        </w:tc>
      </w:tr>
      <w:tr w:rsidR="00584D08" w:rsidRPr="004D188D" w:rsidTr="00772279">
        <w:tc>
          <w:tcPr>
            <w:tcW w:w="9322" w:type="dxa"/>
            <w:shd w:val="clear" w:color="auto" w:fill="auto"/>
          </w:tcPr>
          <w:p w:rsidR="00584D08" w:rsidRPr="004D188D" w:rsidRDefault="00584D08" w:rsidP="00772279">
            <w:r w:rsidRPr="004D188D">
              <w:t>Inadeguatezza o assenza di competenze del personale addetto al processo</w:t>
            </w:r>
          </w:p>
        </w:tc>
        <w:tc>
          <w:tcPr>
            <w:tcW w:w="758" w:type="dxa"/>
            <w:shd w:val="clear" w:color="auto" w:fill="auto"/>
          </w:tcPr>
          <w:p w:rsidR="00584D08" w:rsidRPr="004D188D" w:rsidRDefault="00584D08" w:rsidP="00772279">
            <w:pPr>
              <w:jc w:val="center"/>
            </w:pPr>
          </w:p>
        </w:tc>
      </w:tr>
      <w:tr w:rsidR="00584D08" w:rsidRPr="004D188D" w:rsidTr="00772279">
        <w:tc>
          <w:tcPr>
            <w:tcW w:w="9322" w:type="dxa"/>
            <w:shd w:val="clear" w:color="auto" w:fill="auto"/>
          </w:tcPr>
          <w:p w:rsidR="00584D08" w:rsidRPr="004D188D" w:rsidRDefault="00584D08" w:rsidP="00772279">
            <w:r w:rsidRPr="004D188D">
              <w:t>Inadeguata diffusione della cultura della legalità</w:t>
            </w:r>
          </w:p>
        </w:tc>
        <w:tc>
          <w:tcPr>
            <w:tcW w:w="758" w:type="dxa"/>
            <w:shd w:val="clear" w:color="auto" w:fill="auto"/>
          </w:tcPr>
          <w:p w:rsidR="00584D08" w:rsidRPr="004D188D" w:rsidRDefault="00584D08" w:rsidP="00772279">
            <w:pPr>
              <w:jc w:val="center"/>
            </w:pPr>
          </w:p>
        </w:tc>
      </w:tr>
      <w:tr w:rsidR="00584D08" w:rsidRPr="004D188D" w:rsidTr="00772279">
        <w:tc>
          <w:tcPr>
            <w:tcW w:w="9322" w:type="dxa"/>
            <w:shd w:val="clear" w:color="auto" w:fill="auto"/>
          </w:tcPr>
          <w:p w:rsidR="00584D08" w:rsidRPr="004D188D" w:rsidRDefault="00584D08" w:rsidP="00772279">
            <w:r w:rsidRPr="004D188D">
              <w:t>Mancata attuazione del principio di separazione tra politica e gestione</w:t>
            </w:r>
          </w:p>
        </w:tc>
        <w:tc>
          <w:tcPr>
            <w:tcW w:w="758" w:type="dxa"/>
            <w:shd w:val="clear" w:color="auto" w:fill="auto"/>
          </w:tcPr>
          <w:p w:rsidR="00584D08" w:rsidRPr="004D188D" w:rsidRDefault="00584D08" w:rsidP="00772279">
            <w:pPr>
              <w:jc w:val="center"/>
            </w:pPr>
          </w:p>
        </w:tc>
      </w:tr>
      <w:tr w:rsidR="00584D08" w:rsidRPr="004D188D" w:rsidTr="00772279">
        <w:tc>
          <w:tcPr>
            <w:tcW w:w="9322" w:type="dxa"/>
            <w:shd w:val="clear" w:color="auto" w:fill="auto"/>
          </w:tcPr>
          <w:p w:rsidR="00584D08" w:rsidRPr="004D188D" w:rsidRDefault="00584D08" w:rsidP="00772279">
            <w:r w:rsidRPr="004D188D">
              <w:t>Conflitto di interessi in capo ai titolari del procedimento</w:t>
            </w:r>
            <w:r>
              <w:t xml:space="preserve"> – potenziale</w:t>
            </w:r>
          </w:p>
        </w:tc>
        <w:tc>
          <w:tcPr>
            <w:tcW w:w="758" w:type="dxa"/>
            <w:shd w:val="clear" w:color="auto" w:fill="auto"/>
          </w:tcPr>
          <w:p w:rsidR="00584D08" w:rsidRPr="004D188D" w:rsidRDefault="00584D08" w:rsidP="00772279">
            <w:pPr>
              <w:jc w:val="center"/>
            </w:pPr>
            <w:r w:rsidRPr="00C94B21">
              <w:t>X</w:t>
            </w:r>
          </w:p>
        </w:tc>
      </w:tr>
    </w:tbl>
    <w:p w:rsidR="00584D08" w:rsidRDefault="00584D08" w:rsidP="00810AC8"/>
    <w:p w:rsidR="00133ED3" w:rsidRPr="00E606E6" w:rsidRDefault="00133ED3" w:rsidP="00FA38E3">
      <w:pPr>
        <w:pStyle w:val="Titolo3"/>
      </w:pPr>
      <w:bookmarkStart w:id="112" w:name="_Toc101602023"/>
      <w:r w:rsidRPr="00E606E6">
        <w:t>G.4.1.C. Provvedimenti ampliativi della sfera giuridica con effetto economico diretto ed immediato (es. erogazione contributi, etc.)</w:t>
      </w:r>
      <w:bookmarkEnd w:id="109"/>
      <w:bookmarkEnd w:id="110"/>
      <w:bookmarkEnd w:id="111"/>
      <w:bookmarkEnd w:id="112"/>
    </w:p>
    <w:p w:rsidR="00133ED3" w:rsidRPr="00B67FEC" w:rsidRDefault="00133ED3" w:rsidP="0049154B">
      <w:pPr>
        <w:rPr>
          <w:rFonts w:cs="Calibri"/>
          <w:noProof/>
          <w:szCs w:val="20"/>
        </w:rPr>
      </w:pPr>
      <w:r w:rsidRPr="00B67FEC">
        <w:rPr>
          <w:rFonts w:cs="Calibri"/>
          <w:noProof/>
          <w:szCs w:val="20"/>
        </w:rPr>
        <w:t xml:space="preserve">Numero di processi mappati per l'area di rischio: </w:t>
      </w:r>
      <w:r w:rsidR="00187ED9" w:rsidRPr="00B67FEC">
        <w:rPr>
          <w:rFonts w:cs="Calibri"/>
          <w:noProof/>
          <w:szCs w:val="20"/>
        </w:rPr>
        <w:t>1</w:t>
      </w:r>
    </w:p>
    <w:p w:rsidR="00187ED9" w:rsidRDefault="00187ED9" w:rsidP="00187ED9">
      <w:pPr>
        <w:tabs>
          <w:tab w:val="left" w:pos="426"/>
        </w:tabs>
        <w:ind w:left="426" w:hanging="426"/>
        <w:rPr>
          <w:rFonts w:cs="Calibri"/>
          <w:noProof/>
          <w:szCs w:val="20"/>
        </w:rPr>
      </w:pPr>
      <w:bookmarkStart w:id="113" w:name="_Toc28966889"/>
      <w:bookmarkStart w:id="114" w:name="_Toc28967109"/>
      <w:bookmarkStart w:id="115" w:name="_Toc28967362"/>
      <w:r w:rsidRPr="00187ED9">
        <w:rPr>
          <w:rFonts w:cs="Calibri"/>
          <w:noProof/>
          <w:szCs w:val="20"/>
        </w:rPr>
        <w:t>GESTIONE OMAGG</w:t>
      </w:r>
      <w:r w:rsidR="00922B6F">
        <w:rPr>
          <w:rFonts w:cs="Calibri"/>
          <w:noProof/>
          <w:szCs w:val="20"/>
        </w:rPr>
        <w:t>I, DONAZIONI E ALTRE LIBERALITÀ</w:t>
      </w:r>
      <w:r w:rsidR="00732861">
        <w:rPr>
          <w:rFonts w:cs="Calibri"/>
          <w:noProof/>
          <w:szCs w:val="20"/>
        </w:rPr>
        <w:t xml:space="preserve"> </w:t>
      </w:r>
      <w:r w:rsidR="00732861" w:rsidRPr="00732861">
        <w:rPr>
          <w:rFonts w:cs="Calibri"/>
          <w:noProof/>
          <w:szCs w:val="20"/>
        </w:rPr>
        <w:t>(Protocollo 5 MOG 231)</w:t>
      </w:r>
      <w:r w:rsidR="00922B6F">
        <w:rPr>
          <w:rFonts w:cs="Calibri"/>
          <w:noProof/>
          <w:szCs w:val="20"/>
        </w:rPr>
        <w:t>.</w:t>
      </w:r>
    </w:p>
    <w:p w:rsidR="00C22A36" w:rsidRPr="00FA38E3" w:rsidRDefault="00C22A36" w:rsidP="00772279">
      <w:pPr>
        <w:numPr>
          <w:ilvl w:val="1"/>
          <w:numId w:val="5"/>
        </w:numPr>
        <w:tabs>
          <w:tab w:val="left" w:pos="426"/>
        </w:tabs>
        <w:rPr>
          <w:rFonts w:cs="Calibri"/>
          <w:noProof/>
          <w:color w:val="FFC000"/>
          <w:szCs w:val="20"/>
        </w:rPr>
      </w:pPr>
      <w:r w:rsidRPr="00FA38E3">
        <w:rPr>
          <w:rFonts w:cs="Calibri"/>
          <w:noProof/>
          <w:color w:val="FFC000"/>
          <w:szCs w:val="20"/>
        </w:rPr>
        <w:t xml:space="preserve">Ricevimento </w:t>
      </w:r>
      <w:r w:rsidR="00FA38E3" w:rsidRPr="00FA38E3">
        <w:rPr>
          <w:rFonts w:cs="Calibri"/>
          <w:noProof/>
          <w:color w:val="FFC000"/>
          <w:szCs w:val="20"/>
        </w:rPr>
        <w:t>fornitori</w:t>
      </w:r>
    </w:p>
    <w:p w:rsidR="00810AC8" w:rsidRDefault="00810AC8" w:rsidP="00810AC8">
      <w:r>
        <w:t>MAPPATURA PROCESSO</w:t>
      </w:r>
      <w:r>
        <w:tab/>
      </w:r>
      <w:r>
        <w:tab/>
      </w:r>
      <w:r>
        <w:tab/>
      </w:r>
      <w:r>
        <w:tab/>
      </w:r>
      <w:r>
        <w:tab/>
      </w:r>
      <w:r>
        <w:tab/>
      </w:r>
      <w:r>
        <w:tab/>
        <w:t xml:space="preserve">  RESPONSABILITA’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4647"/>
        <w:gridCol w:w="4133"/>
      </w:tblGrid>
      <w:tr w:rsidR="00810AC8" w:rsidRPr="004D188D" w:rsidTr="00772279">
        <w:tc>
          <w:tcPr>
            <w:tcW w:w="645" w:type="pct"/>
            <w:shd w:val="clear" w:color="auto" w:fill="auto"/>
          </w:tcPr>
          <w:p w:rsidR="00810AC8" w:rsidRPr="004D188D" w:rsidRDefault="00810AC8" w:rsidP="00772279">
            <w:r>
              <w:t>Input</w:t>
            </w:r>
          </w:p>
        </w:tc>
        <w:tc>
          <w:tcPr>
            <w:tcW w:w="2305" w:type="pct"/>
            <w:shd w:val="clear" w:color="auto" w:fill="auto"/>
          </w:tcPr>
          <w:p w:rsidR="00810AC8" w:rsidRPr="004D188D" w:rsidRDefault="00810AC8" w:rsidP="00772279">
            <w:pPr>
              <w:jc w:val="left"/>
            </w:pPr>
            <w:r>
              <w:t>Attività negoziale della Azienda</w:t>
            </w:r>
          </w:p>
        </w:tc>
        <w:tc>
          <w:tcPr>
            <w:tcW w:w="2050" w:type="pct"/>
            <w:shd w:val="clear" w:color="auto" w:fill="auto"/>
          </w:tcPr>
          <w:p w:rsidR="00810AC8" w:rsidRDefault="00FA38E3" w:rsidP="00772279">
            <w:pPr>
              <w:jc w:val="left"/>
            </w:pPr>
            <w:r>
              <w:t>Direzione</w:t>
            </w:r>
          </w:p>
          <w:p w:rsidR="00810AC8" w:rsidRDefault="00810AC8" w:rsidP="00772279">
            <w:pPr>
              <w:jc w:val="left"/>
            </w:pPr>
            <w:r>
              <w:t xml:space="preserve">Servizi </w:t>
            </w:r>
            <w:proofErr w:type="spellStart"/>
            <w:r>
              <w:t>Soci</w:t>
            </w:r>
            <w:r w:rsidR="00FA38E3">
              <w:t>oassistenziali</w:t>
            </w:r>
            <w:proofErr w:type="spellEnd"/>
          </w:p>
          <w:p w:rsidR="00810AC8" w:rsidRDefault="00810AC8" w:rsidP="00772279">
            <w:pPr>
              <w:jc w:val="left"/>
            </w:pPr>
            <w:r>
              <w:t>Responsabile Acquisti</w:t>
            </w:r>
          </w:p>
          <w:p w:rsidR="00810AC8" w:rsidRDefault="00810AC8" w:rsidP="00772279">
            <w:pPr>
              <w:jc w:val="left"/>
            </w:pPr>
            <w:r>
              <w:t>Direttori Farmacia</w:t>
            </w:r>
          </w:p>
        </w:tc>
      </w:tr>
      <w:tr w:rsidR="00810AC8" w:rsidRPr="004D188D" w:rsidTr="00772279">
        <w:tc>
          <w:tcPr>
            <w:tcW w:w="645" w:type="pct"/>
            <w:shd w:val="clear" w:color="auto" w:fill="auto"/>
          </w:tcPr>
          <w:p w:rsidR="00810AC8" w:rsidRDefault="00810AC8" w:rsidP="00810AC8">
            <w:r>
              <w:t>Attività</w:t>
            </w:r>
          </w:p>
        </w:tc>
        <w:tc>
          <w:tcPr>
            <w:tcW w:w="2305" w:type="pct"/>
            <w:shd w:val="clear" w:color="auto" w:fill="auto"/>
          </w:tcPr>
          <w:p w:rsidR="00810AC8" w:rsidRDefault="00810AC8" w:rsidP="00810AC8">
            <w:pPr>
              <w:jc w:val="left"/>
            </w:pPr>
            <w:r>
              <w:t>Approvvigionamento beni e servizi</w:t>
            </w:r>
          </w:p>
          <w:p w:rsidR="00810AC8" w:rsidRDefault="00810AC8" w:rsidP="00810AC8">
            <w:pPr>
              <w:jc w:val="left"/>
            </w:pPr>
            <w:r>
              <w:t>Approvvigionamento farmaci e parafarmaci</w:t>
            </w:r>
          </w:p>
          <w:p w:rsidR="00810AC8" w:rsidRPr="004D188D" w:rsidRDefault="00810AC8" w:rsidP="00810AC8">
            <w:pPr>
              <w:jc w:val="left"/>
            </w:pPr>
            <w:r>
              <w:t>Stipula accordi per erogazione attività professionali (fisioterapia, podol</w:t>
            </w:r>
            <w:r w:rsidR="00A71310">
              <w:t>o</w:t>
            </w:r>
            <w:r>
              <w:t>go, ecc.)</w:t>
            </w:r>
          </w:p>
        </w:tc>
        <w:tc>
          <w:tcPr>
            <w:tcW w:w="2050" w:type="pct"/>
            <w:shd w:val="clear" w:color="auto" w:fill="auto"/>
          </w:tcPr>
          <w:p w:rsidR="00810AC8" w:rsidRDefault="00FA38E3" w:rsidP="00810AC8">
            <w:pPr>
              <w:jc w:val="left"/>
            </w:pPr>
            <w:r>
              <w:t>Direzione</w:t>
            </w:r>
          </w:p>
          <w:p w:rsidR="00810AC8" w:rsidRDefault="00810AC8" w:rsidP="00810AC8">
            <w:pPr>
              <w:jc w:val="left"/>
            </w:pPr>
            <w:r>
              <w:t>Responsabile Acquisti, Direttori Farmacia</w:t>
            </w:r>
          </w:p>
          <w:p w:rsidR="00810AC8" w:rsidRDefault="00810AC8" w:rsidP="00810AC8">
            <w:pPr>
              <w:jc w:val="left"/>
            </w:pPr>
          </w:p>
          <w:p w:rsidR="00810AC8" w:rsidRPr="004D188D" w:rsidRDefault="00FA38E3" w:rsidP="00810AC8">
            <w:pPr>
              <w:jc w:val="left"/>
            </w:pPr>
            <w:r>
              <w:t>AU</w:t>
            </w:r>
          </w:p>
        </w:tc>
      </w:tr>
      <w:tr w:rsidR="00810AC8" w:rsidRPr="004D188D" w:rsidTr="00772279">
        <w:tc>
          <w:tcPr>
            <w:tcW w:w="645" w:type="pct"/>
            <w:shd w:val="clear" w:color="auto" w:fill="auto"/>
          </w:tcPr>
          <w:p w:rsidR="00810AC8" w:rsidRPr="004D188D" w:rsidRDefault="00810AC8" w:rsidP="00810AC8">
            <w:r>
              <w:t>Output</w:t>
            </w:r>
          </w:p>
        </w:tc>
        <w:tc>
          <w:tcPr>
            <w:tcW w:w="2305" w:type="pct"/>
            <w:shd w:val="clear" w:color="auto" w:fill="auto"/>
          </w:tcPr>
          <w:p w:rsidR="00810AC8" w:rsidRDefault="00810AC8" w:rsidP="00810AC8">
            <w:pPr>
              <w:jc w:val="left"/>
            </w:pPr>
            <w:r>
              <w:t>Approvvigionamento</w:t>
            </w:r>
          </w:p>
          <w:p w:rsidR="00810AC8" w:rsidRPr="004D188D" w:rsidRDefault="00810AC8" w:rsidP="00810AC8">
            <w:pPr>
              <w:jc w:val="left"/>
            </w:pPr>
          </w:p>
        </w:tc>
        <w:tc>
          <w:tcPr>
            <w:tcW w:w="2050" w:type="pct"/>
            <w:shd w:val="clear" w:color="auto" w:fill="auto"/>
          </w:tcPr>
          <w:p w:rsidR="00810AC8" w:rsidRPr="004D188D" w:rsidRDefault="00810AC8" w:rsidP="00810AC8">
            <w:pPr>
              <w:jc w:val="left"/>
            </w:pPr>
            <w:r>
              <w:t>Amministrazione, Responsabile Acquisti, Direttori Farmacia</w:t>
            </w:r>
          </w:p>
        </w:tc>
      </w:tr>
    </w:tbl>
    <w:p w:rsidR="00810AC8" w:rsidRDefault="00810AC8" w:rsidP="00810AC8"/>
    <w:p w:rsidR="00810AC8" w:rsidRDefault="00810AC8" w:rsidP="00810AC8">
      <w:r>
        <w:t>FATTORI ABILITANTI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758"/>
      </w:tblGrid>
      <w:tr w:rsidR="00810AC8" w:rsidRPr="004D188D" w:rsidTr="00772279">
        <w:tc>
          <w:tcPr>
            <w:tcW w:w="9322" w:type="dxa"/>
            <w:shd w:val="clear" w:color="auto" w:fill="auto"/>
          </w:tcPr>
          <w:p w:rsidR="00810AC8" w:rsidRPr="004D188D" w:rsidRDefault="00810AC8" w:rsidP="00772279">
            <w:r w:rsidRPr="004D188D">
              <w:t>Inadeguatezza o assenza di controlli</w:t>
            </w:r>
          </w:p>
        </w:tc>
        <w:tc>
          <w:tcPr>
            <w:tcW w:w="758" w:type="dxa"/>
            <w:shd w:val="clear" w:color="auto" w:fill="auto"/>
          </w:tcPr>
          <w:p w:rsidR="00810AC8" w:rsidRPr="004D188D" w:rsidRDefault="00810AC8" w:rsidP="00772279">
            <w:pPr>
              <w:jc w:val="center"/>
            </w:pPr>
          </w:p>
        </w:tc>
      </w:tr>
      <w:tr w:rsidR="00810AC8" w:rsidRPr="004D188D" w:rsidTr="00772279">
        <w:tc>
          <w:tcPr>
            <w:tcW w:w="9322" w:type="dxa"/>
            <w:shd w:val="clear" w:color="auto" w:fill="auto"/>
          </w:tcPr>
          <w:p w:rsidR="00810AC8" w:rsidRPr="004D188D" w:rsidRDefault="00810AC8" w:rsidP="00772279">
            <w:r w:rsidRPr="004D188D">
              <w:t>Inadeguatezza o assenza di trasparenza</w:t>
            </w:r>
            <w:r>
              <w:t xml:space="preserve"> - potenziale</w:t>
            </w:r>
          </w:p>
        </w:tc>
        <w:tc>
          <w:tcPr>
            <w:tcW w:w="758" w:type="dxa"/>
            <w:shd w:val="clear" w:color="auto" w:fill="auto"/>
          </w:tcPr>
          <w:p w:rsidR="00810AC8" w:rsidRPr="004D188D" w:rsidRDefault="00810AC8" w:rsidP="00772279">
            <w:pPr>
              <w:jc w:val="center"/>
            </w:pPr>
          </w:p>
        </w:tc>
      </w:tr>
      <w:tr w:rsidR="00810AC8" w:rsidRPr="004D188D" w:rsidTr="00772279">
        <w:tc>
          <w:tcPr>
            <w:tcW w:w="9322" w:type="dxa"/>
            <w:shd w:val="clear" w:color="auto" w:fill="auto"/>
          </w:tcPr>
          <w:p w:rsidR="00810AC8" w:rsidRPr="004D188D" w:rsidRDefault="00810AC8" w:rsidP="00772279">
            <w:r w:rsidRPr="004D188D">
              <w:t>Eccessiva regolamentazione, complessità e scarsa chiarezza della normativa di riferimento</w:t>
            </w:r>
            <w:r>
              <w:t xml:space="preserve"> – esterna (regionali, nazionali, UE)</w:t>
            </w:r>
            <w:r w:rsidRPr="004D188D">
              <w:t>, ovvero scarsa o</w:t>
            </w:r>
          </w:p>
        </w:tc>
        <w:tc>
          <w:tcPr>
            <w:tcW w:w="758" w:type="dxa"/>
            <w:shd w:val="clear" w:color="auto" w:fill="auto"/>
          </w:tcPr>
          <w:p w:rsidR="00810AC8" w:rsidRPr="004D188D" w:rsidRDefault="00810AC8" w:rsidP="00772279">
            <w:pPr>
              <w:jc w:val="center"/>
            </w:pPr>
            <w:r w:rsidRPr="00C94B21">
              <w:t>X</w:t>
            </w:r>
          </w:p>
        </w:tc>
      </w:tr>
      <w:tr w:rsidR="00810AC8" w:rsidRPr="004D188D" w:rsidTr="00772279">
        <w:tc>
          <w:tcPr>
            <w:tcW w:w="9322" w:type="dxa"/>
            <w:shd w:val="clear" w:color="auto" w:fill="auto"/>
          </w:tcPr>
          <w:p w:rsidR="00810AC8" w:rsidRPr="004D188D" w:rsidRDefault="00810AC8" w:rsidP="00772279">
            <w:r>
              <w:t>I</w:t>
            </w:r>
            <w:r w:rsidRPr="004D188D">
              <w:t>nsufficiente regolamentazione interna</w:t>
            </w:r>
          </w:p>
        </w:tc>
        <w:tc>
          <w:tcPr>
            <w:tcW w:w="758" w:type="dxa"/>
            <w:shd w:val="clear" w:color="auto" w:fill="auto"/>
          </w:tcPr>
          <w:p w:rsidR="00810AC8" w:rsidRPr="004D188D" w:rsidRDefault="00810AC8" w:rsidP="00772279">
            <w:pPr>
              <w:jc w:val="center"/>
            </w:pPr>
          </w:p>
        </w:tc>
      </w:tr>
      <w:tr w:rsidR="00810AC8" w:rsidRPr="004D188D" w:rsidTr="00772279">
        <w:tc>
          <w:tcPr>
            <w:tcW w:w="9322" w:type="dxa"/>
            <w:shd w:val="clear" w:color="auto" w:fill="auto"/>
          </w:tcPr>
          <w:p w:rsidR="00810AC8" w:rsidRPr="004D188D" w:rsidRDefault="00810AC8" w:rsidP="00772279">
            <w:r w:rsidRPr="004D188D">
              <w:t>Esercizio prolungato ed esclusivo della responsabilità di un processo da parte di pochi o di un unico soggetto</w:t>
            </w:r>
          </w:p>
        </w:tc>
        <w:tc>
          <w:tcPr>
            <w:tcW w:w="758" w:type="dxa"/>
            <w:shd w:val="clear" w:color="auto" w:fill="auto"/>
          </w:tcPr>
          <w:p w:rsidR="00810AC8" w:rsidRPr="004D188D" w:rsidRDefault="00810AC8" w:rsidP="00772279">
            <w:pPr>
              <w:jc w:val="center"/>
            </w:pPr>
            <w:r w:rsidRPr="00C94B21">
              <w:t>X</w:t>
            </w:r>
          </w:p>
        </w:tc>
      </w:tr>
      <w:tr w:rsidR="00810AC8" w:rsidRPr="004D188D" w:rsidTr="00772279">
        <w:tc>
          <w:tcPr>
            <w:tcW w:w="9322" w:type="dxa"/>
            <w:shd w:val="clear" w:color="auto" w:fill="auto"/>
          </w:tcPr>
          <w:p w:rsidR="00810AC8" w:rsidRPr="004D188D" w:rsidRDefault="00810AC8" w:rsidP="00772279">
            <w:r w:rsidRPr="004D188D">
              <w:t>Scarsa responsabilizzazione interna</w:t>
            </w:r>
          </w:p>
        </w:tc>
        <w:tc>
          <w:tcPr>
            <w:tcW w:w="758" w:type="dxa"/>
            <w:shd w:val="clear" w:color="auto" w:fill="auto"/>
          </w:tcPr>
          <w:p w:rsidR="00810AC8" w:rsidRPr="004D188D" w:rsidRDefault="00810AC8" w:rsidP="00772279">
            <w:pPr>
              <w:jc w:val="center"/>
            </w:pPr>
          </w:p>
        </w:tc>
      </w:tr>
      <w:tr w:rsidR="00810AC8" w:rsidRPr="004D188D" w:rsidTr="00772279">
        <w:tc>
          <w:tcPr>
            <w:tcW w:w="9322" w:type="dxa"/>
            <w:shd w:val="clear" w:color="auto" w:fill="auto"/>
          </w:tcPr>
          <w:p w:rsidR="00810AC8" w:rsidRPr="004D188D" w:rsidRDefault="00810AC8" w:rsidP="00772279">
            <w:r w:rsidRPr="004D188D">
              <w:t>Inadeguatezza o assenza di competenze del personale addetto al processo</w:t>
            </w:r>
          </w:p>
        </w:tc>
        <w:tc>
          <w:tcPr>
            <w:tcW w:w="758" w:type="dxa"/>
            <w:shd w:val="clear" w:color="auto" w:fill="auto"/>
          </w:tcPr>
          <w:p w:rsidR="00810AC8" w:rsidRPr="004D188D" w:rsidRDefault="00810AC8" w:rsidP="00772279">
            <w:pPr>
              <w:jc w:val="center"/>
            </w:pPr>
          </w:p>
        </w:tc>
      </w:tr>
      <w:tr w:rsidR="00810AC8" w:rsidRPr="004D188D" w:rsidTr="00772279">
        <w:tc>
          <w:tcPr>
            <w:tcW w:w="9322" w:type="dxa"/>
            <w:shd w:val="clear" w:color="auto" w:fill="auto"/>
          </w:tcPr>
          <w:p w:rsidR="00810AC8" w:rsidRPr="004D188D" w:rsidRDefault="00810AC8" w:rsidP="00772279">
            <w:r w:rsidRPr="004D188D">
              <w:t>Inadeguata diffusione della cultura della legalità</w:t>
            </w:r>
          </w:p>
        </w:tc>
        <w:tc>
          <w:tcPr>
            <w:tcW w:w="758" w:type="dxa"/>
            <w:shd w:val="clear" w:color="auto" w:fill="auto"/>
          </w:tcPr>
          <w:p w:rsidR="00810AC8" w:rsidRPr="004D188D" w:rsidRDefault="00810AC8" w:rsidP="00772279">
            <w:pPr>
              <w:jc w:val="center"/>
            </w:pPr>
            <w:r>
              <w:t>X</w:t>
            </w:r>
          </w:p>
        </w:tc>
      </w:tr>
      <w:tr w:rsidR="00810AC8" w:rsidRPr="004D188D" w:rsidTr="00772279">
        <w:tc>
          <w:tcPr>
            <w:tcW w:w="9322" w:type="dxa"/>
            <w:shd w:val="clear" w:color="auto" w:fill="auto"/>
          </w:tcPr>
          <w:p w:rsidR="00810AC8" w:rsidRPr="004D188D" w:rsidRDefault="00810AC8" w:rsidP="00772279">
            <w:r w:rsidRPr="004D188D">
              <w:t>Mancata attuazione del principio di separazione tra politica e gestione</w:t>
            </w:r>
          </w:p>
        </w:tc>
        <w:tc>
          <w:tcPr>
            <w:tcW w:w="758" w:type="dxa"/>
            <w:shd w:val="clear" w:color="auto" w:fill="auto"/>
          </w:tcPr>
          <w:p w:rsidR="00810AC8" w:rsidRPr="004D188D" w:rsidRDefault="00810AC8" w:rsidP="00772279">
            <w:pPr>
              <w:jc w:val="center"/>
            </w:pPr>
          </w:p>
        </w:tc>
      </w:tr>
      <w:tr w:rsidR="00810AC8" w:rsidRPr="004D188D" w:rsidTr="00772279">
        <w:tc>
          <w:tcPr>
            <w:tcW w:w="9322" w:type="dxa"/>
            <w:shd w:val="clear" w:color="auto" w:fill="auto"/>
          </w:tcPr>
          <w:p w:rsidR="00810AC8" w:rsidRPr="004D188D" w:rsidRDefault="00810AC8" w:rsidP="00772279">
            <w:r w:rsidRPr="004D188D">
              <w:t>Conflitto di interessi in capo ai titolari del procedimento</w:t>
            </w:r>
            <w:r>
              <w:t xml:space="preserve"> – potenziale</w:t>
            </w:r>
          </w:p>
        </w:tc>
        <w:tc>
          <w:tcPr>
            <w:tcW w:w="758" w:type="dxa"/>
            <w:shd w:val="clear" w:color="auto" w:fill="auto"/>
          </w:tcPr>
          <w:p w:rsidR="00810AC8" w:rsidRPr="004D188D" w:rsidRDefault="00810AC8" w:rsidP="00772279">
            <w:pPr>
              <w:jc w:val="center"/>
            </w:pPr>
            <w:r w:rsidRPr="00C94B21">
              <w:t>X</w:t>
            </w:r>
          </w:p>
        </w:tc>
      </w:tr>
    </w:tbl>
    <w:p w:rsidR="00133ED3" w:rsidRPr="00E606E6" w:rsidRDefault="00411957" w:rsidP="00810AC8">
      <w:r>
        <w:br w:type="page"/>
      </w:r>
      <w:r w:rsidR="00133ED3" w:rsidRPr="00E606E6">
        <w:lastRenderedPageBreak/>
        <w:t>G.4.1.D. Contratti pubblici</w:t>
      </w:r>
      <w:bookmarkEnd w:id="113"/>
      <w:bookmarkEnd w:id="114"/>
      <w:bookmarkEnd w:id="115"/>
    </w:p>
    <w:p w:rsidR="00133ED3" w:rsidRPr="00B67FEC" w:rsidRDefault="00133ED3" w:rsidP="0049154B">
      <w:pPr>
        <w:rPr>
          <w:rFonts w:cs="Calibri"/>
          <w:noProof/>
          <w:szCs w:val="20"/>
        </w:rPr>
      </w:pPr>
      <w:r w:rsidRPr="00B67FEC">
        <w:rPr>
          <w:rFonts w:cs="Calibri"/>
          <w:noProof/>
          <w:szCs w:val="20"/>
        </w:rPr>
        <w:t xml:space="preserve">Numero di processi mappati per l'area di rischio: </w:t>
      </w:r>
      <w:r w:rsidR="00187ED9" w:rsidRPr="00B67FEC">
        <w:rPr>
          <w:rFonts w:cs="Calibri"/>
          <w:noProof/>
          <w:szCs w:val="20"/>
        </w:rPr>
        <w:t>1</w:t>
      </w:r>
    </w:p>
    <w:p w:rsidR="00187ED9" w:rsidRDefault="00187ED9" w:rsidP="00187ED9">
      <w:pPr>
        <w:tabs>
          <w:tab w:val="left" w:pos="426"/>
        </w:tabs>
        <w:ind w:left="426" w:hanging="426"/>
        <w:rPr>
          <w:rFonts w:cs="Calibri"/>
          <w:noProof/>
          <w:szCs w:val="20"/>
        </w:rPr>
      </w:pPr>
      <w:bookmarkStart w:id="116" w:name="_Toc28966890"/>
      <w:bookmarkStart w:id="117" w:name="_Toc28967110"/>
      <w:bookmarkStart w:id="118" w:name="_Toc28967363"/>
      <w:r w:rsidRPr="00187ED9">
        <w:rPr>
          <w:rFonts w:cs="Calibri"/>
          <w:noProof/>
          <w:szCs w:val="20"/>
        </w:rPr>
        <w:t xml:space="preserve">APPROVVIGIONAMENTO </w:t>
      </w:r>
      <w:r w:rsidR="00922B6F">
        <w:rPr>
          <w:rFonts w:cs="Calibri"/>
          <w:noProof/>
          <w:szCs w:val="20"/>
        </w:rPr>
        <w:t>DI FORNITURE, SERVIZI E LAVORI</w:t>
      </w:r>
      <w:r w:rsidR="00732861">
        <w:rPr>
          <w:rFonts w:cs="Calibri"/>
          <w:noProof/>
          <w:szCs w:val="20"/>
        </w:rPr>
        <w:t xml:space="preserve"> </w:t>
      </w:r>
      <w:r w:rsidR="00732861" w:rsidRPr="00732861">
        <w:rPr>
          <w:rFonts w:cs="Calibri"/>
          <w:noProof/>
          <w:szCs w:val="20"/>
        </w:rPr>
        <w:t>(Protocollo 1 MOG 231)</w:t>
      </w:r>
    </w:p>
    <w:p w:rsidR="00732861" w:rsidRPr="003115B3" w:rsidRDefault="00732861" w:rsidP="00C22A36">
      <w:pPr>
        <w:numPr>
          <w:ilvl w:val="1"/>
          <w:numId w:val="5"/>
        </w:numPr>
        <w:tabs>
          <w:tab w:val="left" w:pos="426"/>
        </w:tabs>
        <w:rPr>
          <w:rFonts w:cs="Calibri"/>
          <w:noProof/>
          <w:color w:val="C00000"/>
          <w:szCs w:val="20"/>
        </w:rPr>
      </w:pPr>
      <w:r w:rsidRPr="003115B3">
        <w:rPr>
          <w:rFonts w:cs="Calibri"/>
          <w:noProof/>
          <w:color w:val="C00000"/>
          <w:szCs w:val="20"/>
        </w:rPr>
        <w:t>9 Affidamenti diretti di beni e servizi</w:t>
      </w:r>
    </w:p>
    <w:p w:rsidR="00C22A36" w:rsidRPr="00F340AC" w:rsidRDefault="00732861" w:rsidP="00C22A36">
      <w:pPr>
        <w:numPr>
          <w:ilvl w:val="1"/>
          <w:numId w:val="5"/>
        </w:numPr>
        <w:tabs>
          <w:tab w:val="left" w:pos="426"/>
        </w:tabs>
        <w:rPr>
          <w:rFonts w:cs="Calibri"/>
          <w:noProof/>
          <w:color w:val="FFC000"/>
          <w:szCs w:val="20"/>
        </w:rPr>
      </w:pPr>
      <w:r>
        <w:rPr>
          <w:rFonts w:cs="Calibri"/>
          <w:noProof/>
          <w:color w:val="FFC000"/>
          <w:szCs w:val="20"/>
        </w:rPr>
        <w:t xml:space="preserve">10 </w:t>
      </w:r>
      <w:r w:rsidR="00C22A36" w:rsidRPr="00F340AC">
        <w:rPr>
          <w:rFonts w:cs="Calibri"/>
          <w:noProof/>
          <w:color w:val="FFC000"/>
          <w:szCs w:val="20"/>
        </w:rPr>
        <w:t>PROCEDURE DI AFFIDAMENTO Affidamento di servizi e forniture mediante le procedure di cui all’art. 36 del D.Lgs. 50/2016</w:t>
      </w:r>
    </w:p>
    <w:p w:rsidR="00C22A36" w:rsidRPr="00F340AC" w:rsidRDefault="00732861" w:rsidP="00C22A36">
      <w:pPr>
        <w:numPr>
          <w:ilvl w:val="1"/>
          <w:numId w:val="5"/>
        </w:numPr>
        <w:tabs>
          <w:tab w:val="left" w:pos="426"/>
        </w:tabs>
        <w:rPr>
          <w:rFonts w:cs="Calibri"/>
          <w:noProof/>
          <w:color w:val="FFC000"/>
          <w:szCs w:val="20"/>
        </w:rPr>
      </w:pPr>
      <w:r>
        <w:rPr>
          <w:rFonts w:cs="Calibri"/>
          <w:noProof/>
          <w:color w:val="FFC000"/>
          <w:szCs w:val="20"/>
        </w:rPr>
        <w:t xml:space="preserve">11 </w:t>
      </w:r>
      <w:r w:rsidR="00C22A36" w:rsidRPr="00F340AC">
        <w:rPr>
          <w:rFonts w:cs="Calibri"/>
          <w:noProof/>
          <w:color w:val="FFC000"/>
          <w:szCs w:val="20"/>
        </w:rPr>
        <w:t>GARE DI APPALTO PER LA FORNITURA DI FARMACI E PARAFARMACI</w:t>
      </w:r>
    </w:p>
    <w:p w:rsidR="00810AC8" w:rsidRDefault="00810AC8" w:rsidP="00810AC8"/>
    <w:p w:rsidR="00810AC8" w:rsidRDefault="00810AC8" w:rsidP="00810AC8">
      <w:r>
        <w:t>MAPPATURA PROCESSO</w:t>
      </w:r>
      <w:r>
        <w:tab/>
      </w:r>
      <w:r>
        <w:tab/>
      </w:r>
      <w:r>
        <w:tab/>
      </w:r>
      <w:r>
        <w:tab/>
      </w:r>
      <w:r>
        <w:tab/>
        <w:t xml:space="preserve">  RESPONSABILITA’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3328"/>
        <w:gridCol w:w="5719"/>
      </w:tblGrid>
      <w:tr w:rsidR="00810AC8" w:rsidRPr="00AD6E83" w:rsidTr="00772279">
        <w:tc>
          <w:tcPr>
            <w:tcW w:w="512" w:type="pct"/>
            <w:shd w:val="clear" w:color="auto" w:fill="auto"/>
          </w:tcPr>
          <w:p w:rsidR="00810AC8" w:rsidRPr="00EB0F8F" w:rsidRDefault="00810AC8" w:rsidP="00772279">
            <w:pPr>
              <w:rPr>
                <w:szCs w:val="20"/>
              </w:rPr>
            </w:pPr>
            <w:r w:rsidRPr="00EB0F8F">
              <w:rPr>
                <w:szCs w:val="20"/>
              </w:rPr>
              <w:t>Input</w:t>
            </w:r>
          </w:p>
        </w:tc>
        <w:tc>
          <w:tcPr>
            <w:tcW w:w="1651" w:type="pct"/>
            <w:shd w:val="clear" w:color="auto" w:fill="auto"/>
          </w:tcPr>
          <w:p w:rsidR="00810AC8" w:rsidRPr="00EB0F8F" w:rsidRDefault="00810AC8" w:rsidP="00772279">
            <w:pPr>
              <w:jc w:val="left"/>
              <w:rPr>
                <w:szCs w:val="20"/>
              </w:rPr>
            </w:pPr>
            <w:r w:rsidRPr="00EB0F8F">
              <w:rPr>
                <w:rFonts w:cs="Calibri"/>
                <w:szCs w:val="20"/>
              </w:rPr>
              <w:t xml:space="preserve">Necessità di approvvigionamento </w:t>
            </w:r>
            <w:r>
              <w:rPr>
                <w:rFonts w:cs="Calibri"/>
                <w:szCs w:val="20"/>
              </w:rPr>
              <w:t xml:space="preserve">Farmaci, </w:t>
            </w:r>
            <w:r w:rsidRPr="00EB0F8F">
              <w:rPr>
                <w:rFonts w:cs="Calibri"/>
                <w:szCs w:val="20"/>
              </w:rPr>
              <w:t>Beni e Servizi</w:t>
            </w:r>
          </w:p>
        </w:tc>
        <w:tc>
          <w:tcPr>
            <w:tcW w:w="2837" w:type="pct"/>
            <w:shd w:val="clear" w:color="auto" w:fill="auto"/>
          </w:tcPr>
          <w:p w:rsidR="00810AC8" w:rsidRPr="00810AC8" w:rsidRDefault="00810AC8" w:rsidP="00772279">
            <w:pPr>
              <w:rPr>
                <w:rFonts w:cs="Calibri"/>
                <w:szCs w:val="20"/>
              </w:rPr>
            </w:pPr>
            <w:r>
              <w:rPr>
                <w:rFonts w:cs="Calibri"/>
                <w:szCs w:val="20"/>
              </w:rPr>
              <w:t>Responsabile Acquisti</w:t>
            </w:r>
            <w:r w:rsidRPr="00265279">
              <w:rPr>
                <w:rFonts w:cs="Calibri"/>
                <w:szCs w:val="20"/>
              </w:rPr>
              <w:t xml:space="preserve"> + </w:t>
            </w:r>
            <w:r w:rsidR="00F340AC">
              <w:rPr>
                <w:rFonts w:cs="Calibri"/>
                <w:szCs w:val="20"/>
              </w:rPr>
              <w:t>Direzione</w:t>
            </w:r>
            <w:r w:rsidRPr="00265279">
              <w:rPr>
                <w:rFonts w:cs="Calibri"/>
                <w:szCs w:val="20"/>
              </w:rPr>
              <w:t xml:space="preserve"> per programmazione acquisto beni e servizi</w:t>
            </w:r>
          </w:p>
        </w:tc>
      </w:tr>
      <w:tr w:rsidR="00810AC8" w:rsidRPr="00AD6E83" w:rsidTr="00772279">
        <w:tc>
          <w:tcPr>
            <w:tcW w:w="512" w:type="pct"/>
            <w:shd w:val="clear" w:color="auto" w:fill="auto"/>
          </w:tcPr>
          <w:p w:rsidR="00810AC8" w:rsidRPr="00EB0F8F" w:rsidRDefault="00810AC8" w:rsidP="00772279">
            <w:pPr>
              <w:rPr>
                <w:szCs w:val="20"/>
              </w:rPr>
            </w:pPr>
            <w:r w:rsidRPr="00EB0F8F">
              <w:rPr>
                <w:szCs w:val="20"/>
              </w:rPr>
              <w:t>Attività</w:t>
            </w:r>
          </w:p>
        </w:tc>
        <w:tc>
          <w:tcPr>
            <w:tcW w:w="1651" w:type="pct"/>
            <w:shd w:val="clear" w:color="auto" w:fill="auto"/>
          </w:tcPr>
          <w:p w:rsidR="00810AC8" w:rsidRPr="00EB0F8F" w:rsidRDefault="00810AC8" w:rsidP="00772279">
            <w:pPr>
              <w:rPr>
                <w:szCs w:val="20"/>
              </w:rPr>
            </w:pPr>
            <w:r w:rsidRPr="00EB0F8F">
              <w:rPr>
                <w:rFonts w:cs="Calibri"/>
                <w:szCs w:val="20"/>
              </w:rPr>
              <w:t>Svolgimento procedura di approvvigionamento</w:t>
            </w:r>
          </w:p>
        </w:tc>
        <w:tc>
          <w:tcPr>
            <w:tcW w:w="2837" w:type="pct"/>
            <w:shd w:val="clear" w:color="auto" w:fill="auto"/>
          </w:tcPr>
          <w:p w:rsidR="00810AC8" w:rsidRPr="00265279" w:rsidRDefault="00810AC8" w:rsidP="00772279">
            <w:pPr>
              <w:rPr>
                <w:rFonts w:cs="Calibri"/>
                <w:szCs w:val="20"/>
              </w:rPr>
            </w:pPr>
            <w:r w:rsidRPr="00FD74E1">
              <w:rPr>
                <w:rFonts w:cs="Calibri"/>
                <w:szCs w:val="20"/>
              </w:rPr>
              <w:t xml:space="preserve">Applicazione della procedura operativa </w:t>
            </w:r>
            <w:r w:rsidRPr="00265279">
              <w:rPr>
                <w:rFonts w:cs="Calibri"/>
                <w:szCs w:val="20"/>
              </w:rPr>
              <w:t>per gli approvvigionamenti</w:t>
            </w:r>
            <w:r>
              <w:rPr>
                <w:rFonts w:cs="Calibri"/>
                <w:szCs w:val="20"/>
              </w:rPr>
              <w:t xml:space="preserve"> </w:t>
            </w:r>
            <w:r w:rsidRPr="00265279">
              <w:rPr>
                <w:rFonts w:cs="Calibri"/>
                <w:szCs w:val="20"/>
              </w:rPr>
              <w:t>– protocollo MOG231</w:t>
            </w:r>
          </w:p>
          <w:p w:rsidR="00810AC8" w:rsidRPr="00265279" w:rsidRDefault="00F340AC" w:rsidP="00772279">
            <w:pPr>
              <w:rPr>
                <w:rFonts w:cs="Calibri"/>
                <w:szCs w:val="20"/>
              </w:rPr>
            </w:pPr>
            <w:r>
              <w:rPr>
                <w:rFonts w:cs="Calibri"/>
                <w:szCs w:val="20"/>
              </w:rPr>
              <w:t>Direzione</w:t>
            </w:r>
            <w:r w:rsidR="00810AC8" w:rsidRPr="00265279">
              <w:rPr>
                <w:rFonts w:cs="Calibri"/>
                <w:szCs w:val="20"/>
              </w:rPr>
              <w:t xml:space="preserve"> per esecuzione procedure affidamenti tramite procedura negoziata, con o senza bando nonché aperta</w:t>
            </w:r>
            <w:r w:rsidR="00810AC8">
              <w:rPr>
                <w:rFonts w:cs="Calibri"/>
                <w:szCs w:val="20"/>
              </w:rPr>
              <w:t xml:space="preserve"> </w:t>
            </w:r>
            <w:r>
              <w:rPr>
                <w:rFonts w:cs="Calibri"/>
                <w:szCs w:val="20"/>
              </w:rPr>
              <w:t xml:space="preserve">tramite aggregazione CISPEL - </w:t>
            </w:r>
            <w:proofErr w:type="spellStart"/>
            <w:r>
              <w:rPr>
                <w:rFonts w:cs="Calibri"/>
                <w:szCs w:val="20"/>
              </w:rPr>
              <w:t>Confservizi</w:t>
            </w:r>
            <w:proofErr w:type="spellEnd"/>
            <w:r w:rsidR="00810AC8">
              <w:rPr>
                <w:rFonts w:cs="Calibri"/>
                <w:szCs w:val="20"/>
              </w:rPr>
              <w:t>.</w:t>
            </w:r>
          </w:p>
          <w:p w:rsidR="00810AC8" w:rsidRPr="00265279" w:rsidRDefault="00810AC8" w:rsidP="00F340AC">
            <w:pPr>
              <w:rPr>
                <w:szCs w:val="20"/>
              </w:rPr>
            </w:pPr>
            <w:r>
              <w:rPr>
                <w:rFonts w:cs="Calibri"/>
                <w:szCs w:val="20"/>
              </w:rPr>
              <w:t>AU</w:t>
            </w:r>
            <w:r w:rsidRPr="00265279">
              <w:rPr>
                <w:rFonts w:cs="Calibri"/>
                <w:szCs w:val="20"/>
              </w:rPr>
              <w:t xml:space="preserve"> </w:t>
            </w:r>
            <w:r>
              <w:rPr>
                <w:rFonts w:cs="Calibri"/>
                <w:szCs w:val="20"/>
              </w:rPr>
              <w:t xml:space="preserve">+ Amministrazione </w:t>
            </w:r>
            <w:r w:rsidRPr="00265279">
              <w:rPr>
                <w:rFonts w:cs="Calibri"/>
                <w:szCs w:val="20"/>
              </w:rPr>
              <w:t xml:space="preserve">per formalizzazione atto di acquisto e stipula contratti </w:t>
            </w:r>
          </w:p>
        </w:tc>
      </w:tr>
      <w:tr w:rsidR="00810AC8" w:rsidRPr="00AD6E83" w:rsidTr="00772279">
        <w:tc>
          <w:tcPr>
            <w:tcW w:w="512" w:type="pct"/>
            <w:shd w:val="clear" w:color="auto" w:fill="auto"/>
          </w:tcPr>
          <w:p w:rsidR="00810AC8" w:rsidRPr="00EB0F8F" w:rsidRDefault="00810AC8" w:rsidP="00772279">
            <w:pPr>
              <w:rPr>
                <w:szCs w:val="20"/>
              </w:rPr>
            </w:pPr>
            <w:r w:rsidRPr="00EB0F8F">
              <w:rPr>
                <w:szCs w:val="20"/>
              </w:rPr>
              <w:t>Output</w:t>
            </w:r>
          </w:p>
        </w:tc>
        <w:tc>
          <w:tcPr>
            <w:tcW w:w="1651" w:type="pct"/>
            <w:shd w:val="clear" w:color="auto" w:fill="auto"/>
          </w:tcPr>
          <w:p w:rsidR="00810AC8" w:rsidRPr="00EB0F8F" w:rsidRDefault="00810AC8" w:rsidP="00772279">
            <w:pPr>
              <w:rPr>
                <w:rFonts w:cs="Calibri"/>
                <w:szCs w:val="20"/>
              </w:rPr>
            </w:pPr>
            <w:r w:rsidRPr="00EB0F8F">
              <w:rPr>
                <w:rFonts w:cs="Calibri"/>
                <w:szCs w:val="20"/>
              </w:rPr>
              <w:t xml:space="preserve">Acquisto di </w:t>
            </w:r>
            <w:r>
              <w:rPr>
                <w:rFonts w:cs="Calibri"/>
                <w:szCs w:val="20"/>
              </w:rPr>
              <w:t>Farmaci, B</w:t>
            </w:r>
            <w:r w:rsidRPr="00EB0F8F">
              <w:rPr>
                <w:rFonts w:cs="Calibri"/>
                <w:szCs w:val="20"/>
              </w:rPr>
              <w:t xml:space="preserve">eni, fruizione di </w:t>
            </w:r>
            <w:r>
              <w:rPr>
                <w:rFonts w:cs="Calibri"/>
                <w:szCs w:val="20"/>
              </w:rPr>
              <w:t>S</w:t>
            </w:r>
            <w:r w:rsidRPr="00EB0F8F">
              <w:rPr>
                <w:rFonts w:cs="Calibri"/>
                <w:szCs w:val="20"/>
              </w:rPr>
              <w:t>ervizi</w:t>
            </w:r>
          </w:p>
          <w:p w:rsidR="00810AC8" w:rsidRPr="00EB0F8F" w:rsidRDefault="00810AC8" w:rsidP="00772279">
            <w:pPr>
              <w:rPr>
                <w:rFonts w:cs="Calibri"/>
                <w:szCs w:val="20"/>
              </w:rPr>
            </w:pPr>
          </w:p>
          <w:p w:rsidR="00810AC8" w:rsidRPr="00EB0F8F" w:rsidRDefault="00810AC8" w:rsidP="00772279">
            <w:pPr>
              <w:rPr>
                <w:szCs w:val="20"/>
              </w:rPr>
            </w:pPr>
            <w:r w:rsidRPr="00EB0F8F">
              <w:rPr>
                <w:rFonts w:cs="Calibri"/>
                <w:szCs w:val="20"/>
              </w:rPr>
              <w:t>Pubblicazioni in AT</w:t>
            </w:r>
          </w:p>
        </w:tc>
        <w:tc>
          <w:tcPr>
            <w:tcW w:w="2837" w:type="pct"/>
            <w:shd w:val="clear" w:color="auto" w:fill="auto"/>
          </w:tcPr>
          <w:p w:rsidR="00810AC8" w:rsidRPr="00265279" w:rsidRDefault="00F340AC" w:rsidP="00772279">
            <w:pPr>
              <w:rPr>
                <w:rFonts w:cs="Calibri"/>
                <w:szCs w:val="20"/>
              </w:rPr>
            </w:pPr>
            <w:r>
              <w:rPr>
                <w:rFonts w:cs="Calibri"/>
                <w:szCs w:val="20"/>
              </w:rPr>
              <w:t>Direzione</w:t>
            </w:r>
            <w:r w:rsidR="00810AC8" w:rsidRPr="00265279">
              <w:rPr>
                <w:rFonts w:cs="Calibri"/>
                <w:szCs w:val="20"/>
              </w:rPr>
              <w:t xml:space="preserve"> per controlli dichiarazioni OE, quando richiesto</w:t>
            </w:r>
            <w:r>
              <w:rPr>
                <w:rFonts w:cs="Calibri"/>
                <w:szCs w:val="20"/>
              </w:rPr>
              <w:t>.</w:t>
            </w:r>
          </w:p>
          <w:p w:rsidR="00810AC8" w:rsidRPr="00265279" w:rsidRDefault="00810AC8" w:rsidP="00772279">
            <w:pPr>
              <w:rPr>
                <w:rFonts w:cs="Calibri"/>
                <w:szCs w:val="20"/>
              </w:rPr>
            </w:pPr>
            <w:r>
              <w:rPr>
                <w:rFonts w:cs="Calibri"/>
                <w:szCs w:val="20"/>
              </w:rPr>
              <w:t xml:space="preserve">Direttore Farmacia e </w:t>
            </w:r>
            <w:r w:rsidR="00F340AC">
              <w:rPr>
                <w:rFonts w:cs="Calibri"/>
                <w:szCs w:val="20"/>
              </w:rPr>
              <w:t>Coordinatori</w:t>
            </w:r>
            <w:r>
              <w:rPr>
                <w:rFonts w:cs="Calibri"/>
                <w:szCs w:val="20"/>
              </w:rPr>
              <w:t xml:space="preserve"> </w:t>
            </w:r>
            <w:r w:rsidR="00F340AC">
              <w:rPr>
                <w:rFonts w:cs="Calibri"/>
                <w:szCs w:val="20"/>
              </w:rPr>
              <w:t xml:space="preserve">Servizi </w:t>
            </w:r>
            <w:proofErr w:type="spellStart"/>
            <w:r w:rsidR="00F340AC">
              <w:rPr>
                <w:rFonts w:cs="Calibri"/>
                <w:szCs w:val="20"/>
              </w:rPr>
              <w:t>Socioassistenziali</w:t>
            </w:r>
            <w:proofErr w:type="spellEnd"/>
            <w:r>
              <w:rPr>
                <w:rFonts w:cs="Calibri"/>
                <w:szCs w:val="20"/>
              </w:rPr>
              <w:t xml:space="preserve"> </w:t>
            </w:r>
            <w:r w:rsidRPr="00265279">
              <w:rPr>
                <w:rFonts w:cs="Calibri"/>
                <w:szCs w:val="20"/>
              </w:rPr>
              <w:t>per rendicontazione gare/affidamenti</w:t>
            </w:r>
          </w:p>
          <w:p w:rsidR="00810AC8" w:rsidRPr="00265279" w:rsidRDefault="00F340AC" w:rsidP="00772279">
            <w:pPr>
              <w:rPr>
                <w:szCs w:val="20"/>
              </w:rPr>
            </w:pPr>
            <w:r>
              <w:rPr>
                <w:rFonts w:cs="Calibri"/>
                <w:szCs w:val="20"/>
              </w:rPr>
              <w:t>Direzione</w:t>
            </w:r>
            <w:r w:rsidR="00810AC8" w:rsidRPr="00265279">
              <w:rPr>
                <w:rFonts w:cs="Calibri"/>
                <w:szCs w:val="20"/>
              </w:rPr>
              <w:t xml:space="preserve"> per pubblicazioni in AT l. 190/2012 (file XML)</w:t>
            </w:r>
          </w:p>
        </w:tc>
      </w:tr>
    </w:tbl>
    <w:p w:rsidR="00810AC8" w:rsidRDefault="00810AC8" w:rsidP="00810AC8"/>
    <w:p w:rsidR="00263A91" w:rsidRDefault="00263A91" w:rsidP="00263A91">
      <w:r>
        <w:t>FATTORI ABILITANTI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758"/>
      </w:tblGrid>
      <w:tr w:rsidR="00263A91" w:rsidRPr="004D188D" w:rsidTr="00772279">
        <w:tc>
          <w:tcPr>
            <w:tcW w:w="4624" w:type="pct"/>
            <w:shd w:val="clear" w:color="auto" w:fill="auto"/>
          </w:tcPr>
          <w:p w:rsidR="00263A91" w:rsidRPr="004D188D" w:rsidRDefault="00263A91" w:rsidP="00772279">
            <w:r w:rsidRPr="004D188D">
              <w:t>Inadeguatezza o assenza di controlli</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rsidRPr="004D188D">
              <w:t>Inadeguatezza o assenza di trasparenza</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rsidRPr="004D188D">
              <w:t>Eccessiva regolamentazione, complessità e scarsa chiarezza della normativa di riferimento, ovvero scarsa o</w:t>
            </w:r>
          </w:p>
        </w:tc>
        <w:tc>
          <w:tcPr>
            <w:tcW w:w="376" w:type="pct"/>
            <w:shd w:val="clear" w:color="auto" w:fill="auto"/>
          </w:tcPr>
          <w:p w:rsidR="00263A91" w:rsidRPr="004D188D" w:rsidRDefault="00263A91" w:rsidP="00772279">
            <w:pPr>
              <w:jc w:val="center"/>
            </w:pPr>
            <w:r>
              <w:t>X</w:t>
            </w:r>
          </w:p>
        </w:tc>
      </w:tr>
      <w:tr w:rsidR="00263A91" w:rsidRPr="004D188D" w:rsidTr="00772279">
        <w:tc>
          <w:tcPr>
            <w:tcW w:w="4624" w:type="pct"/>
            <w:shd w:val="clear" w:color="auto" w:fill="auto"/>
          </w:tcPr>
          <w:p w:rsidR="00263A91" w:rsidRPr="004D188D" w:rsidRDefault="00263A91" w:rsidP="00772279">
            <w:r>
              <w:t>I</w:t>
            </w:r>
            <w:r w:rsidRPr="004D188D">
              <w:t>nsufficiente regolamentazione interna</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rsidRPr="004D188D">
              <w:t>Esercizio prolungato ed esclusivo della responsabilità di un processo da parte di pochi o di un unico soggetto</w:t>
            </w:r>
          </w:p>
        </w:tc>
        <w:tc>
          <w:tcPr>
            <w:tcW w:w="376" w:type="pct"/>
            <w:shd w:val="clear" w:color="auto" w:fill="auto"/>
          </w:tcPr>
          <w:p w:rsidR="00263A91" w:rsidRPr="004D188D" w:rsidRDefault="00263A91" w:rsidP="00772279">
            <w:pPr>
              <w:jc w:val="center"/>
            </w:pPr>
            <w:r>
              <w:t>X</w:t>
            </w:r>
          </w:p>
        </w:tc>
      </w:tr>
      <w:tr w:rsidR="00263A91" w:rsidRPr="004D188D" w:rsidTr="00772279">
        <w:tc>
          <w:tcPr>
            <w:tcW w:w="4624" w:type="pct"/>
            <w:shd w:val="clear" w:color="auto" w:fill="auto"/>
          </w:tcPr>
          <w:p w:rsidR="00263A91" w:rsidRPr="004D188D" w:rsidRDefault="00263A91" w:rsidP="00772279">
            <w:r w:rsidRPr="004D188D">
              <w:t>Scarsa responsabilizzazione interna</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t>Necessità di formazione per evitare i</w:t>
            </w:r>
            <w:r w:rsidRPr="004D188D">
              <w:t>nadeguatezza o assenza di competenze del personale addetto al processo</w:t>
            </w:r>
          </w:p>
        </w:tc>
        <w:tc>
          <w:tcPr>
            <w:tcW w:w="376" w:type="pct"/>
            <w:shd w:val="clear" w:color="auto" w:fill="auto"/>
          </w:tcPr>
          <w:p w:rsidR="00263A91" w:rsidRPr="004D188D" w:rsidRDefault="00263A91" w:rsidP="00772279">
            <w:pPr>
              <w:jc w:val="center"/>
            </w:pPr>
            <w:r>
              <w:t>X</w:t>
            </w:r>
          </w:p>
        </w:tc>
      </w:tr>
      <w:tr w:rsidR="00263A91" w:rsidRPr="004D188D" w:rsidTr="00772279">
        <w:tc>
          <w:tcPr>
            <w:tcW w:w="4624" w:type="pct"/>
            <w:shd w:val="clear" w:color="auto" w:fill="auto"/>
          </w:tcPr>
          <w:p w:rsidR="00263A91" w:rsidRPr="004D188D" w:rsidRDefault="00263A91" w:rsidP="00772279">
            <w:r w:rsidRPr="004D188D">
              <w:t>Inadeguata diffusione della cultura della legalità</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rsidRPr="004D188D">
              <w:t>Mancata attuazione del principio di separazione tra politica e gestione</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rsidRPr="004D188D">
              <w:t>Conflitto di interessi in capo ai titolari del procedimento</w:t>
            </w:r>
          </w:p>
        </w:tc>
        <w:tc>
          <w:tcPr>
            <w:tcW w:w="376" w:type="pct"/>
            <w:shd w:val="clear" w:color="auto" w:fill="auto"/>
          </w:tcPr>
          <w:p w:rsidR="00263A91" w:rsidRPr="004D188D" w:rsidRDefault="00263A91" w:rsidP="00772279">
            <w:pPr>
              <w:jc w:val="center"/>
            </w:pPr>
            <w:r>
              <w:t>X</w:t>
            </w:r>
          </w:p>
        </w:tc>
      </w:tr>
    </w:tbl>
    <w:p w:rsidR="00263A91" w:rsidRDefault="00263A91" w:rsidP="00810AC8"/>
    <w:p w:rsidR="00133ED3" w:rsidRPr="00E606E6" w:rsidRDefault="00133ED3" w:rsidP="00C22A36">
      <w:pPr>
        <w:pStyle w:val="Titolo3"/>
      </w:pPr>
      <w:bookmarkStart w:id="119" w:name="_Toc101602024"/>
      <w:r w:rsidRPr="00E606E6">
        <w:t>G.4.1.E. Incarichi e nomine</w:t>
      </w:r>
      <w:bookmarkEnd w:id="116"/>
      <w:bookmarkEnd w:id="117"/>
      <w:bookmarkEnd w:id="118"/>
      <w:bookmarkEnd w:id="119"/>
    </w:p>
    <w:p w:rsidR="00877CF7" w:rsidRPr="00B67FEC" w:rsidRDefault="00877CF7" w:rsidP="00877CF7">
      <w:pPr>
        <w:rPr>
          <w:rFonts w:cs="Calibri"/>
          <w:noProof/>
          <w:szCs w:val="20"/>
        </w:rPr>
      </w:pPr>
      <w:bookmarkStart w:id="120" w:name="_Toc28966891"/>
      <w:bookmarkStart w:id="121" w:name="_Toc28967111"/>
      <w:bookmarkStart w:id="122" w:name="_Toc28967364"/>
      <w:r w:rsidRPr="00B67FEC">
        <w:rPr>
          <w:rFonts w:cs="Calibri"/>
          <w:noProof/>
          <w:szCs w:val="20"/>
        </w:rPr>
        <w:t>Numero di processi mappati per l'area di rischio: 0</w:t>
      </w:r>
    </w:p>
    <w:p w:rsidR="00133ED3" w:rsidRPr="00E606E6" w:rsidRDefault="00411957" w:rsidP="00C728EC">
      <w:pPr>
        <w:pStyle w:val="Titolo3"/>
      </w:pPr>
      <w:r>
        <w:br w:type="page"/>
      </w:r>
      <w:bookmarkStart w:id="123" w:name="_Toc101602025"/>
      <w:r w:rsidR="00133ED3" w:rsidRPr="00E606E6">
        <w:lastRenderedPageBreak/>
        <w:t>G.4.1.F. Gestione delle entrate, delle spese e del patrimonio</w:t>
      </w:r>
      <w:bookmarkEnd w:id="120"/>
      <w:bookmarkEnd w:id="121"/>
      <w:bookmarkEnd w:id="122"/>
      <w:bookmarkEnd w:id="123"/>
    </w:p>
    <w:p w:rsidR="00133ED3" w:rsidRPr="00B67FEC" w:rsidRDefault="00133ED3" w:rsidP="0049154B">
      <w:pPr>
        <w:rPr>
          <w:rFonts w:cs="Calibri"/>
          <w:noProof/>
          <w:szCs w:val="20"/>
        </w:rPr>
      </w:pPr>
      <w:r w:rsidRPr="00B67FEC">
        <w:rPr>
          <w:rFonts w:cs="Calibri"/>
          <w:noProof/>
          <w:szCs w:val="20"/>
        </w:rPr>
        <w:t>Numero di processi mappati per l'area di rischio</w:t>
      </w:r>
      <w:r w:rsidR="00187ED9" w:rsidRPr="00B67FEC">
        <w:rPr>
          <w:rFonts w:cs="Calibri"/>
          <w:noProof/>
          <w:szCs w:val="20"/>
        </w:rPr>
        <w:t>: 3</w:t>
      </w:r>
    </w:p>
    <w:p w:rsidR="00187ED9" w:rsidRDefault="00187ED9" w:rsidP="00187ED9">
      <w:pPr>
        <w:tabs>
          <w:tab w:val="left" w:pos="426"/>
        </w:tabs>
        <w:ind w:left="426" w:hanging="426"/>
        <w:rPr>
          <w:rFonts w:cs="Calibri"/>
          <w:noProof/>
          <w:color w:val="FFC000"/>
          <w:szCs w:val="20"/>
        </w:rPr>
      </w:pPr>
      <w:bookmarkStart w:id="124" w:name="_Toc28966892"/>
      <w:bookmarkStart w:id="125" w:name="_Toc28967112"/>
      <w:bookmarkStart w:id="126" w:name="_Toc28967365"/>
      <w:r w:rsidRPr="00411957">
        <w:rPr>
          <w:rFonts w:cs="Calibri"/>
          <w:noProof/>
          <w:color w:val="FFC000"/>
          <w:szCs w:val="20"/>
        </w:rPr>
        <w:t>GESTIO</w:t>
      </w:r>
      <w:r w:rsidR="00922B6F" w:rsidRPr="00411957">
        <w:rPr>
          <w:rFonts w:cs="Calibri"/>
          <w:noProof/>
          <w:color w:val="FFC000"/>
          <w:szCs w:val="20"/>
        </w:rPr>
        <w:t>NE FLUSSI MONETARI E FINANZIARI</w:t>
      </w:r>
      <w:r w:rsidR="00732861">
        <w:rPr>
          <w:rFonts w:cs="Calibri"/>
          <w:noProof/>
          <w:color w:val="FFC000"/>
          <w:szCs w:val="20"/>
        </w:rPr>
        <w:t xml:space="preserve"> </w:t>
      </w:r>
      <w:r w:rsidR="00732861" w:rsidRPr="00732861">
        <w:rPr>
          <w:rFonts w:cs="Calibri"/>
          <w:noProof/>
          <w:color w:val="FFC000"/>
          <w:szCs w:val="20"/>
        </w:rPr>
        <w:t>(Protocollo 3 MOG 231)</w:t>
      </w:r>
    </w:p>
    <w:p w:rsidR="00732861" w:rsidRPr="00732861" w:rsidRDefault="00732861" w:rsidP="00732861">
      <w:pPr>
        <w:pStyle w:val="Paragrafoelenco"/>
        <w:numPr>
          <w:ilvl w:val="0"/>
          <w:numId w:val="30"/>
        </w:numPr>
        <w:tabs>
          <w:tab w:val="left" w:pos="426"/>
        </w:tabs>
        <w:rPr>
          <w:rFonts w:cs="Calibri"/>
          <w:noProof/>
          <w:color w:val="FFC000"/>
          <w:szCs w:val="20"/>
        </w:rPr>
      </w:pPr>
      <w:r w:rsidRPr="00732861">
        <w:rPr>
          <w:rFonts w:cs="Calibri"/>
          <w:noProof/>
          <w:color w:val="FFC000"/>
          <w:szCs w:val="20"/>
        </w:rPr>
        <w:t>12 Gestione cassa</w:t>
      </w:r>
    </w:p>
    <w:p w:rsidR="00187ED9" w:rsidRDefault="00187ED9" w:rsidP="00187ED9">
      <w:pPr>
        <w:tabs>
          <w:tab w:val="left" w:pos="426"/>
        </w:tabs>
        <w:ind w:left="426" w:hanging="426"/>
        <w:rPr>
          <w:rFonts w:cs="Calibri"/>
          <w:noProof/>
          <w:color w:val="00B050"/>
          <w:szCs w:val="20"/>
        </w:rPr>
      </w:pPr>
      <w:r w:rsidRPr="00F340AC">
        <w:rPr>
          <w:rFonts w:cs="Calibri"/>
          <w:noProof/>
          <w:color w:val="00B050"/>
          <w:szCs w:val="20"/>
        </w:rPr>
        <w:t>GESTIONE DELLA CONTABILITÀ, FORMAZIONE DEL BILANCIO, RAPPO</w:t>
      </w:r>
      <w:r w:rsidR="00922B6F" w:rsidRPr="00F340AC">
        <w:rPr>
          <w:rFonts w:cs="Calibri"/>
          <w:noProof/>
          <w:color w:val="00B050"/>
          <w:szCs w:val="20"/>
        </w:rPr>
        <w:t>RTI CON GLI ORGANI DI CONTROLLO</w:t>
      </w:r>
      <w:r w:rsidR="00732861">
        <w:rPr>
          <w:rFonts w:cs="Calibri"/>
          <w:noProof/>
          <w:color w:val="00B050"/>
          <w:szCs w:val="20"/>
        </w:rPr>
        <w:t xml:space="preserve"> </w:t>
      </w:r>
      <w:r w:rsidR="00732861" w:rsidRPr="00732861">
        <w:rPr>
          <w:rFonts w:cs="Calibri"/>
          <w:noProof/>
          <w:color w:val="00B050"/>
          <w:szCs w:val="20"/>
        </w:rPr>
        <w:t xml:space="preserve">(Protocollo </w:t>
      </w:r>
      <w:r w:rsidR="00732861">
        <w:rPr>
          <w:rFonts w:cs="Calibri"/>
          <w:noProof/>
          <w:color w:val="00B050"/>
          <w:szCs w:val="20"/>
        </w:rPr>
        <w:t>6</w:t>
      </w:r>
      <w:r w:rsidR="00732861" w:rsidRPr="00732861">
        <w:rPr>
          <w:rFonts w:cs="Calibri"/>
          <w:noProof/>
          <w:color w:val="00B050"/>
          <w:szCs w:val="20"/>
        </w:rPr>
        <w:t xml:space="preserve"> MOG 231)</w:t>
      </w:r>
    </w:p>
    <w:p w:rsidR="00732861" w:rsidRPr="00732861" w:rsidRDefault="00732861" w:rsidP="00732861">
      <w:pPr>
        <w:pStyle w:val="Paragrafoelenco"/>
        <w:numPr>
          <w:ilvl w:val="0"/>
          <w:numId w:val="29"/>
        </w:numPr>
        <w:tabs>
          <w:tab w:val="left" w:pos="426"/>
        </w:tabs>
        <w:rPr>
          <w:rFonts w:cs="Calibri"/>
          <w:noProof/>
          <w:color w:val="00B050"/>
          <w:szCs w:val="20"/>
        </w:rPr>
      </w:pPr>
      <w:r w:rsidRPr="00732861">
        <w:rPr>
          <w:rFonts w:cs="Calibri"/>
          <w:noProof/>
          <w:color w:val="00B050"/>
          <w:szCs w:val="20"/>
        </w:rPr>
        <w:t>13 Gestione Bilancio</w:t>
      </w:r>
    </w:p>
    <w:p w:rsidR="00187ED9" w:rsidRDefault="00732861" w:rsidP="00187ED9">
      <w:pPr>
        <w:tabs>
          <w:tab w:val="left" w:pos="426"/>
        </w:tabs>
        <w:ind w:left="426" w:hanging="426"/>
        <w:rPr>
          <w:rFonts w:cs="Calibri"/>
          <w:noProof/>
          <w:color w:val="00B050"/>
          <w:szCs w:val="20"/>
        </w:rPr>
      </w:pPr>
      <w:r>
        <w:rPr>
          <w:rFonts w:cs="Calibri"/>
          <w:noProof/>
          <w:color w:val="00B050"/>
          <w:szCs w:val="20"/>
        </w:rPr>
        <w:t>GE</w:t>
      </w:r>
      <w:r w:rsidR="00187ED9" w:rsidRPr="00F340AC">
        <w:rPr>
          <w:rFonts w:cs="Calibri"/>
          <w:noProof/>
          <w:color w:val="00B050"/>
          <w:szCs w:val="20"/>
        </w:rPr>
        <w:t>STIONE DELLE RICHIESTE DI FI</w:t>
      </w:r>
      <w:r w:rsidR="00922B6F" w:rsidRPr="00F340AC">
        <w:rPr>
          <w:rFonts w:cs="Calibri"/>
          <w:noProof/>
          <w:color w:val="00B050"/>
          <w:szCs w:val="20"/>
        </w:rPr>
        <w:t>NANZIAMENTI/CONTRIBUTI PUBBLICI</w:t>
      </w:r>
      <w:r>
        <w:rPr>
          <w:rFonts w:cs="Calibri"/>
          <w:noProof/>
          <w:color w:val="00B050"/>
          <w:szCs w:val="20"/>
        </w:rPr>
        <w:t xml:space="preserve"> </w:t>
      </w:r>
      <w:r w:rsidRPr="00732861">
        <w:rPr>
          <w:rFonts w:cs="Calibri"/>
          <w:noProof/>
          <w:color w:val="00B050"/>
          <w:szCs w:val="20"/>
        </w:rPr>
        <w:t xml:space="preserve">(Protocollo </w:t>
      </w:r>
      <w:r>
        <w:rPr>
          <w:rFonts w:cs="Calibri"/>
          <w:noProof/>
          <w:color w:val="00B050"/>
          <w:szCs w:val="20"/>
        </w:rPr>
        <w:t>7</w:t>
      </w:r>
      <w:r w:rsidRPr="00732861">
        <w:rPr>
          <w:rFonts w:cs="Calibri"/>
          <w:noProof/>
          <w:color w:val="00B050"/>
          <w:szCs w:val="20"/>
        </w:rPr>
        <w:t xml:space="preserve"> MOG 231)</w:t>
      </w:r>
    </w:p>
    <w:p w:rsidR="00732861" w:rsidRPr="00732861" w:rsidRDefault="00732861" w:rsidP="00732861">
      <w:pPr>
        <w:pStyle w:val="Paragrafoelenco"/>
        <w:numPr>
          <w:ilvl w:val="0"/>
          <w:numId w:val="28"/>
        </w:numPr>
        <w:tabs>
          <w:tab w:val="left" w:pos="426"/>
        </w:tabs>
        <w:rPr>
          <w:rFonts w:cs="Calibri"/>
          <w:noProof/>
          <w:color w:val="00B050"/>
          <w:szCs w:val="20"/>
        </w:rPr>
      </w:pPr>
      <w:r w:rsidRPr="00732861">
        <w:rPr>
          <w:rFonts w:cs="Calibri"/>
          <w:noProof/>
          <w:color w:val="00B050"/>
          <w:szCs w:val="20"/>
        </w:rPr>
        <w:t>14 Gestione finanziamenti</w:t>
      </w:r>
    </w:p>
    <w:p w:rsidR="00263A91" w:rsidRDefault="00263A91" w:rsidP="00263A91"/>
    <w:p w:rsidR="00263A91" w:rsidRDefault="00263A91" w:rsidP="00263A91">
      <w:r>
        <w:t>MAPPATURA PROCESSO</w:t>
      </w:r>
      <w:r>
        <w:tab/>
      </w:r>
      <w:r>
        <w:tab/>
      </w:r>
      <w:r>
        <w:tab/>
      </w:r>
      <w:r>
        <w:tab/>
      </w:r>
      <w:r>
        <w:tab/>
        <w:t xml:space="preserve">  </w:t>
      </w:r>
      <w:r w:rsidR="00F340AC">
        <w:t xml:space="preserve">                        </w:t>
      </w:r>
      <w:r>
        <w:t>RESPONSABILITA’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4907"/>
        <w:gridCol w:w="4161"/>
      </w:tblGrid>
      <w:tr w:rsidR="00263A91" w:rsidRPr="004D188D" w:rsidTr="00772279">
        <w:tc>
          <w:tcPr>
            <w:tcW w:w="502" w:type="pct"/>
            <w:shd w:val="clear" w:color="auto" w:fill="auto"/>
          </w:tcPr>
          <w:p w:rsidR="00263A91" w:rsidRPr="004D188D" w:rsidRDefault="00263A91" w:rsidP="00772279">
            <w:r>
              <w:t>Input</w:t>
            </w:r>
          </w:p>
        </w:tc>
        <w:tc>
          <w:tcPr>
            <w:tcW w:w="2434" w:type="pct"/>
            <w:shd w:val="clear" w:color="auto" w:fill="auto"/>
          </w:tcPr>
          <w:p w:rsidR="00263A91" w:rsidRDefault="00263A91" w:rsidP="00772279">
            <w:r>
              <w:t>Gestione finanziaria</w:t>
            </w:r>
          </w:p>
          <w:p w:rsidR="00263A91" w:rsidRPr="004D188D" w:rsidRDefault="00263A91" w:rsidP="00772279">
            <w:r>
              <w:t>Fatturazione passiva</w:t>
            </w:r>
          </w:p>
        </w:tc>
        <w:tc>
          <w:tcPr>
            <w:tcW w:w="2064" w:type="pct"/>
            <w:shd w:val="clear" w:color="auto" w:fill="auto"/>
          </w:tcPr>
          <w:p w:rsidR="00263A91" w:rsidRDefault="00263A91" w:rsidP="00772279"/>
        </w:tc>
      </w:tr>
      <w:tr w:rsidR="00263A91" w:rsidRPr="004D188D" w:rsidTr="00772279">
        <w:tc>
          <w:tcPr>
            <w:tcW w:w="502" w:type="pct"/>
            <w:shd w:val="clear" w:color="auto" w:fill="auto"/>
          </w:tcPr>
          <w:p w:rsidR="00263A91" w:rsidRDefault="00263A91" w:rsidP="00772279">
            <w:r>
              <w:t>Attività</w:t>
            </w:r>
          </w:p>
        </w:tc>
        <w:tc>
          <w:tcPr>
            <w:tcW w:w="2434" w:type="pct"/>
            <w:shd w:val="clear" w:color="auto" w:fill="auto"/>
          </w:tcPr>
          <w:p w:rsidR="00263A91" w:rsidRDefault="00263A91" w:rsidP="00772279">
            <w:r>
              <w:t>Vendite Farmacia</w:t>
            </w:r>
          </w:p>
          <w:p w:rsidR="00263A91" w:rsidRDefault="00263A91" w:rsidP="00772279">
            <w:r>
              <w:t>Riscossione incassi – Fatturazione Servizi (a privati e Comune)</w:t>
            </w:r>
          </w:p>
          <w:p w:rsidR="00263A91" w:rsidRPr="004D188D" w:rsidRDefault="00263A91" w:rsidP="00772279">
            <w:r>
              <w:t>Gestione economica e finanziaria dell’Azienda</w:t>
            </w:r>
          </w:p>
        </w:tc>
        <w:tc>
          <w:tcPr>
            <w:tcW w:w="2064" w:type="pct"/>
            <w:shd w:val="clear" w:color="auto" w:fill="auto"/>
          </w:tcPr>
          <w:p w:rsidR="00263A91" w:rsidRDefault="00263A91" w:rsidP="00772279">
            <w:r>
              <w:t>Farmacie</w:t>
            </w:r>
          </w:p>
          <w:p w:rsidR="00263A91" w:rsidRDefault="00263A91" w:rsidP="00772279">
            <w:r>
              <w:t xml:space="preserve">Farmacie + </w:t>
            </w:r>
            <w:r w:rsidR="00F340AC">
              <w:t>Direzione</w:t>
            </w:r>
          </w:p>
          <w:p w:rsidR="00F340AC" w:rsidRDefault="00F340AC" w:rsidP="00772279"/>
          <w:p w:rsidR="00263A91" w:rsidRPr="004D188D" w:rsidRDefault="00F340AC" w:rsidP="00772279">
            <w:r>
              <w:t>Direzione + Contabilità</w:t>
            </w:r>
          </w:p>
        </w:tc>
      </w:tr>
      <w:tr w:rsidR="00263A91" w:rsidRPr="004D188D" w:rsidTr="00772279">
        <w:tc>
          <w:tcPr>
            <w:tcW w:w="502" w:type="pct"/>
            <w:shd w:val="clear" w:color="auto" w:fill="auto"/>
          </w:tcPr>
          <w:p w:rsidR="00263A91" w:rsidRPr="004D188D" w:rsidRDefault="00263A91" w:rsidP="00772279">
            <w:r>
              <w:t>Output</w:t>
            </w:r>
          </w:p>
        </w:tc>
        <w:tc>
          <w:tcPr>
            <w:tcW w:w="2434" w:type="pct"/>
            <w:shd w:val="clear" w:color="auto" w:fill="auto"/>
          </w:tcPr>
          <w:p w:rsidR="00263A91" w:rsidRDefault="00263A91" w:rsidP="00772279">
            <w:r>
              <w:t>Rendicontazioni cassa</w:t>
            </w:r>
          </w:p>
          <w:p w:rsidR="00263A91" w:rsidRDefault="00263A91" w:rsidP="00772279">
            <w:r>
              <w:t>Incassi servizi</w:t>
            </w:r>
          </w:p>
          <w:p w:rsidR="00263A91" w:rsidRPr="004D188D" w:rsidRDefault="00263A91" w:rsidP="00772279">
            <w:r>
              <w:t>Effettuazione pagamenti fornitori</w:t>
            </w:r>
          </w:p>
        </w:tc>
        <w:tc>
          <w:tcPr>
            <w:tcW w:w="2064" w:type="pct"/>
            <w:shd w:val="clear" w:color="auto" w:fill="auto"/>
          </w:tcPr>
          <w:p w:rsidR="00263A91" w:rsidRDefault="00263A91" w:rsidP="00263A91">
            <w:r>
              <w:t xml:space="preserve">Farmacie + </w:t>
            </w:r>
            <w:r w:rsidR="00F340AC">
              <w:t>Direzione</w:t>
            </w:r>
          </w:p>
          <w:p w:rsidR="00263A91" w:rsidRDefault="00263A91" w:rsidP="00772279">
            <w:r>
              <w:t>Contabilità</w:t>
            </w:r>
          </w:p>
          <w:p w:rsidR="00263A91" w:rsidRPr="004D188D" w:rsidRDefault="00263A91" w:rsidP="00772279">
            <w:r>
              <w:t>Contabilità</w:t>
            </w:r>
          </w:p>
        </w:tc>
      </w:tr>
    </w:tbl>
    <w:p w:rsidR="00263A91" w:rsidRDefault="00263A91" w:rsidP="00263A91"/>
    <w:p w:rsidR="00263A91" w:rsidRDefault="00263A91" w:rsidP="00263A91">
      <w:r>
        <w:t>FATTORI ABILITANTI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758"/>
      </w:tblGrid>
      <w:tr w:rsidR="00263A91" w:rsidRPr="004D188D" w:rsidTr="00772279">
        <w:tc>
          <w:tcPr>
            <w:tcW w:w="4624" w:type="pct"/>
            <w:shd w:val="clear" w:color="auto" w:fill="auto"/>
          </w:tcPr>
          <w:p w:rsidR="00263A91" w:rsidRPr="004D188D" w:rsidRDefault="00263A91" w:rsidP="00772279">
            <w:r w:rsidRPr="004D188D">
              <w:t>Inadeguatezza o assenza di controlli</w:t>
            </w:r>
          </w:p>
        </w:tc>
        <w:tc>
          <w:tcPr>
            <w:tcW w:w="376" w:type="pct"/>
            <w:shd w:val="clear" w:color="auto" w:fill="auto"/>
          </w:tcPr>
          <w:p w:rsidR="00263A91" w:rsidRPr="004D188D" w:rsidRDefault="00263A91" w:rsidP="00772279">
            <w:pPr>
              <w:jc w:val="center"/>
            </w:pPr>
            <w:r>
              <w:t>X</w:t>
            </w:r>
          </w:p>
        </w:tc>
      </w:tr>
      <w:tr w:rsidR="00263A91" w:rsidRPr="004D188D" w:rsidTr="00772279">
        <w:tc>
          <w:tcPr>
            <w:tcW w:w="4624" w:type="pct"/>
            <w:shd w:val="clear" w:color="auto" w:fill="auto"/>
          </w:tcPr>
          <w:p w:rsidR="00263A91" w:rsidRPr="004D188D" w:rsidRDefault="00263A91" w:rsidP="00772279">
            <w:r w:rsidRPr="004D188D">
              <w:t>Inadeguatezza o assenza di trasparenza</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rsidRPr="004D188D">
              <w:t>Eccessiva regolamentazione, complessità e scarsa chiarezza della normativa di riferimento, ovvero scarsa o</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t>I</w:t>
            </w:r>
            <w:r w:rsidRPr="004D188D">
              <w:t>nsufficiente regolamentazione interna</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rsidRPr="004D188D">
              <w:t>Esercizio prolungato ed esclusivo della responsabilità di un processo da parte di pochi o di un unico soggetto</w:t>
            </w:r>
          </w:p>
        </w:tc>
        <w:tc>
          <w:tcPr>
            <w:tcW w:w="376" w:type="pct"/>
            <w:shd w:val="clear" w:color="auto" w:fill="auto"/>
          </w:tcPr>
          <w:p w:rsidR="00263A91" w:rsidRPr="004D188D" w:rsidRDefault="00263A91" w:rsidP="00772279">
            <w:pPr>
              <w:jc w:val="center"/>
            </w:pPr>
            <w:r>
              <w:t>X</w:t>
            </w:r>
          </w:p>
        </w:tc>
      </w:tr>
      <w:tr w:rsidR="00263A91" w:rsidRPr="004D188D" w:rsidTr="00772279">
        <w:tc>
          <w:tcPr>
            <w:tcW w:w="4624" w:type="pct"/>
            <w:shd w:val="clear" w:color="auto" w:fill="auto"/>
          </w:tcPr>
          <w:p w:rsidR="00263A91" w:rsidRPr="004D188D" w:rsidRDefault="00263A91" w:rsidP="00772279">
            <w:r w:rsidRPr="004D188D">
              <w:t>Scarsa responsabilizzazione interna</w:t>
            </w:r>
            <w:r>
              <w:t xml:space="preserve"> – coinvolgimento soggetti esterni</w:t>
            </w:r>
          </w:p>
        </w:tc>
        <w:tc>
          <w:tcPr>
            <w:tcW w:w="376" w:type="pct"/>
            <w:shd w:val="clear" w:color="auto" w:fill="auto"/>
          </w:tcPr>
          <w:p w:rsidR="00263A91" w:rsidRPr="004D188D" w:rsidRDefault="00263A91" w:rsidP="00772279">
            <w:pPr>
              <w:jc w:val="center"/>
            </w:pPr>
            <w:r>
              <w:t>X</w:t>
            </w:r>
          </w:p>
        </w:tc>
      </w:tr>
      <w:tr w:rsidR="00263A91" w:rsidRPr="004D188D" w:rsidTr="00772279">
        <w:tc>
          <w:tcPr>
            <w:tcW w:w="4624" w:type="pct"/>
            <w:shd w:val="clear" w:color="auto" w:fill="auto"/>
          </w:tcPr>
          <w:p w:rsidR="00263A91" w:rsidRPr="004D188D" w:rsidRDefault="00263A91" w:rsidP="00772279">
            <w:r w:rsidRPr="004D188D">
              <w:t>Inadeguatezza o assenza di competenze del personale addetto al processo</w:t>
            </w:r>
          </w:p>
        </w:tc>
        <w:tc>
          <w:tcPr>
            <w:tcW w:w="376" w:type="pct"/>
            <w:shd w:val="clear" w:color="auto" w:fill="auto"/>
          </w:tcPr>
          <w:p w:rsidR="00263A91" w:rsidRPr="004D188D" w:rsidRDefault="00263A91" w:rsidP="00772279">
            <w:pPr>
              <w:jc w:val="center"/>
            </w:pPr>
            <w:r>
              <w:t>X</w:t>
            </w:r>
          </w:p>
        </w:tc>
      </w:tr>
      <w:tr w:rsidR="00263A91" w:rsidRPr="004D188D" w:rsidTr="00772279">
        <w:tc>
          <w:tcPr>
            <w:tcW w:w="4624" w:type="pct"/>
            <w:shd w:val="clear" w:color="auto" w:fill="auto"/>
          </w:tcPr>
          <w:p w:rsidR="00263A91" w:rsidRPr="004D188D" w:rsidRDefault="00263A91" w:rsidP="00772279">
            <w:r w:rsidRPr="004D188D">
              <w:t>Inadeguata diffusione della cultura della legalità</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rsidRPr="004D188D">
              <w:t>Mancata attuazione del principio di separazione tra politica e gestione</w:t>
            </w:r>
          </w:p>
        </w:tc>
        <w:tc>
          <w:tcPr>
            <w:tcW w:w="376" w:type="pct"/>
            <w:shd w:val="clear" w:color="auto" w:fill="auto"/>
          </w:tcPr>
          <w:p w:rsidR="00263A91" w:rsidRPr="004D188D" w:rsidRDefault="00263A91" w:rsidP="00772279">
            <w:pPr>
              <w:jc w:val="center"/>
            </w:pPr>
          </w:p>
        </w:tc>
      </w:tr>
      <w:tr w:rsidR="00263A91" w:rsidRPr="004D188D" w:rsidTr="00772279">
        <w:tc>
          <w:tcPr>
            <w:tcW w:w="4624" w:type="pct"/>
            <w:shd w:val="clear" w:color="auto" w:fill="auto"/>
          </w:tcPr>
          <w:p w:rsidR="00263A91" w:rsidRPr="004D188D" w:rsidRDefault="00263A91" w:rsidP="00772279">
            <w:r w:rsidRPr="004D188D">
              <w:t>Conflitto di interessi in capo ai titolari del procedimento</w:t>
            </w:r>
          </w:p>
        </w:tc>
        <w:tc>
          <w:tcPr>
            <w:tcW w:w="376" w:type="pct"/>
            <w:shd w:val="clear" w:color="auto" w:fill="auto"/>
          </w:tcPr>
          <w:p w:rsidR="00263A91" w:rsidRPr="004D188D" w:rsidRDefault="00263A91" w:rsidP="00772279">
            <w:pPr>
              <w:jc w:val="center"/>
            </w:pPr>
            <w:r>
              <w:t>X</w:t>
            </w:r>
          </w:p>
        </w:tc>
      </w:tr>
    </w:tbl>
    <w:p w:rsidR="00263A91" w:rsidRDefault="00263A91" w:rsidP="00263A91"/>
    <w:p w:rsidR="00263A91" w:rsidRDefault="00263A91" w:rsidP="00263A91"/>
    <w:p w:rsidR="00133ED3" w:rsidRPr="00E606E6" w:rsidRDefault="00411957" w:rsidP="00F340AC">
      <w:pPr>
        <w:pStyle w:val="Titolo3"/>
      </w:pPr>
      <w:r>
        <w:br w:type="page"/>
      </w:r>
      <w:bookmarkStart w:id="127" w:name="_Toc101602026"/>
      <w:r w:rsidR="00133ED3" w:rsidRPr="00E606E6">
        <w:lastRenderedPageBreak/>
        <w:t>G.</w:t>
      </w:r>
      <w:r w:rsidR="00E75E50" w:rsidRPr="00E606E6">
        <w:t>4.1.G.</w:t>
      </w:r>
      <w:r w:rsidR="00133ED3" w:rsidRPr="00E606E6">
        <w:t xml:space="preserve"> Controlli, verifiche, ispezioni e sanzioni</w:t>
      </w:r>
      <w:bookmarkEnd w:id="124"/>
      <w:bookmarkEnd w:id="125"/>
      <w:bookmarkEnd w:id="126"/>
      <w:bookmarkEnd w:id="127"/>
    </w:p>
    <w:p w:rsidR="00877CF7" w:rsidRPr="00B67FEC" w:rsidRDefault="00877CF7" w:rsidP="00877CF7">
      <w:pPr>
        <w:rPr>
          <w:rFonts w:cs="Calibri"/>
          <w:noProof/>
          <w:szCs w:val="20"/>
        </w:rPr>
      </w:pPr>
      <w:bookmarkStart w:id="128" w:name="_Toc28966893"/>
      <w:bookmarkStart w:id="129" w:name="_Toc28967113"/>
      <w:bookmarkStart w:id="130" w:name="_Toc28967366"/>
      <w:r w:rsidRPr="00B67FEC">
        <w:rPr>
          <w:rFonts w:cs="Calibri"/>
          <w:noProof/>
          <w:szCs w:val="20"/>
        </w:rPr>
        <w:t xml:space="preserve">Numero di processi mappati per l'area di rischio: </w:t>
      </w:r>
      <w:r w:rsidR="00401DD4" w:rsidRPr="00B67FEC">
        <w:rPr>
          <w:rFonts w:cs="Calibri"/>
          <w:noProof/>
          <w:szCs w:val="20"/>
        </w:rPr>
        <w:t>1</w:t>
      </w:r>
    </w:p>
    <w:p w:rsidR="00732861" w:rsidRPr="00732861" w:rsidRDefault="00187ED9" w:rsidP="00732861">
      <w:pPr>
        <w:rPr>
          <w:noProof/>
          <w:color w:val="00B050"/>
        </w:rPr>
      </w:pPr>
      <w:r w:rsidRPr="00F340AC">
        <w:rPr>
          <w:noProof/>
          <w:color w:val="00B050"/>
        </w:rPr>
        <w:t>GESTIONE DEGLI ADEMPIMENTI E DEI RAPPORT</w:t>
      </w:r>
      <w:r w:rsidR="00263A91" w:rsidRPr="00F340AC">
        <w:rPr>
          <w:noProof/>
          <w:color w:val="00B050"/>
        </w:rPr>
        <w:t>I</w:t>
      </w:r>
      <w:r w:rsidRPr="00F340AC">
        <w:rPr>
          <w:noProof/>
          <w:color w:val="00B050"/>
        </w:rPr>
        <w:t xml:space="preserve"> CON GLI ENTI PUBBLICI, ANCHE IN OCCASIONE DI VER</w:t>
      </w:r>
      <w:r w:rsidR="00922B6F" w:rsidRPr="00F340AC">
        <w:rPr>
          <w:noProof/>
          <w:color w:val="00B050"/>
        </w:rPr>
        <w:t>IFICHE ED ISPEZIONI.</w:t>
      </w:r>
      <w:r w:rsidR="00732861" w:rsidRPr="00732861">
        <w:t xml:space="preserve"> </w:t>
      </w:r>
      <w:r w:rsidR="00732861" w:rsidRPr="00732861">
        <w:rPr>
          <w:noProof/>
          <w:color w:val="00B050"/>
        </w:rPr>
        <w:t>15 Rapporti con il Comune di Segrate e Organi di controllo (Protocollo 2 MOG 231)</w:t>
      </w:r>
    </w:p>
    <w:p w:rsidR="00563DF9" w:rsidRDefault="00563DF9" w:rsidP="00187ED9">
      <w:pPr>
        <w:rPr>
          <w:noProof/>
          <w:color w:val="FFC000"/>
        </w:rPr>
      </w:pPr>
    </w:p>
    <w:p w:rsidR="00563DF9" w:rsidRDefault="00563DF9" w:rsidP="00563DF9">
      <w:r>
        <w:t>MAPPATURA PROCESSO</w:t>
      </w:r>
      <w:r>
        <w:tab/>
      </w:r>
      <w:r>
        <w:tab/>
      </w:r>
      <w:r>
        <w:tab/>
      </w:r>
      <w:r>
        <w:tab/>
      </w:r>
      <w:r w:rsidR="00030C3C">
        <w:tab/>
      </w:r>
      <w:r>
        <w:tab/>
        <w:t xml:space="preserve">  RESPONSABILITA’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4619"/>
        <w:gridCol w:w="4429"/>
      </w:tblGrid>
      <w:tr w:rsidR="00563DF9" w:rsidRPr="004D188D" w:rsidTr="00772279">
        <w:tc>
          <w:tcPr>
            <w:tcW w:w="512" w:type="pct"/>
            <w:shd w:val="clear" w:color="auto" w:fill="auto"/>
          </w:tcPr>
          <w:p w:rsidR="00563DF9" w:rsidRPr="004D188D" w:rsidRDefault="00563DF9" w:rsidP="00772279">
            <w:r>
              <w:t>Input</w:t>
            </w:r>
          </w:p>
        </w:tc>
        <w:tc>
          <w:tcPr>
            <w:tcW w:w="2291" w:type="pct"/>
            <w:shd w:val="clear" w:color="auto" w:fill="auto"/>
          </w:tcPr>
          <w:p w:rsidR="00563DF9" w:rsidRPr="004D188D" w:rsidRDefault="00563DF9" w:rsidP="00772279">
            <w:r>
              <w:t>Richiesta da organo controllo esterno</w:t>
            </w:r>
          </w:p>
        </w:tc>
        <w:tc>
          <w:tcPr>
            <w:tcW w:w="2197" w:type="pct"/>
            <w:shd w:val="clear" w:color="auto" w:fill="auto"/>
          </w:tcPr>
          <w:p w:rsidR="00563DF9" w:rsidRDefault="00030C3C" w:rsidP="00772279">
            <w:r>
              <w:t>AU</w:t>
            </w:r>
            <w:r w:rsidR="00563DF9">
              <w:t xml:space="preserve"> + </w:t>
            </w:r>
            <w:r w:rsidR="00F340AC">
              <w:t>Direzione</w:t>
            </w:r>
          </w:p>
        </w:tc>
      </w:tr>
      <w:tr w:rsidR="00030C3C" w:rsidRPr="004D188D" w:rsidTr="00772279">
        <w:tc>
          <w:tcPr>
            <w:tcW w:w="512" w:type="pct"/>
            <w:shd w:val="clear" w:color="auto" w:fill="auto"/>
          </w:tcPr>
          <w:p w:rsidR="00030C3C" w:rsidRDefault="00030C3C" w:rsidP="00030C3C">
            <w:r>
              <w:t>Attività</w:t>
            </w:r>
          </w:p>
        </w:tc>
        <w:tc>
          <w:tcPr>
            <w:tcW w:w="2291" w:type="pct"/>
            <w:shd w:val="clear" w:color="auto" w:fill="auto"/>
          </w:tcPr>
          <w:p w:rsidR="00030C3C" w:rsidRPr="004D188D" w:rsidRDefault="00030C3C" w:rsidP="00030C3C">
            <w:r>
              <w:t>Elaborazione dati, presentazione risultati</w:t>
            </w:r>
          </w:p>
        </w:tc>
        <w:tc>
          <w:tcPr>
            <w:tcW w:w="2197" w:type="pct"/>
            <w:shd w:val="clear" w:color="auto" w:fill="auto"/>
          </w:tcPr>
          <w:p w:rsidR="00030C3C" w:rsidRPr="004D188D" w:rsidRDefault="00030C3C" w:rsidP="00030C3C">
            <w:r>
              <w:t xml:space="preserve">AU + </w:t>
            </w:r>
            <w:r w:rsidR="00F340AC">
              <w:t>Direzione</w:t>
            </w:r>
          </w:p>
        </w:tc>
      </w:tr>
      <w:tr w:rsidR="00030C3C" w:rsidRPr="004D188D" w:rsidTr="00772279">
        <w:tc>
          <w:tcPr>
            <w:tcW w:w="512" w:type="pct"/>
            <w:shd w:val="clear" w:color="auto" w:fill="auto"/>
          </w:tcPr>
          <w:p w:rsidR="00030C3C" w:rsidRPr="004D188D" w:rsidRDefault="00030C3C" w:rsidP="00030C3C">
            <w:r>
              <w:t>Output</w:t>
            </w:r>
          </w:p>
        </w:tc>
        <w:tc>
          <w:tcPr>
            <w:tcW w:w="2291" w:type="pct"/>
            <w:shd w:val="clear" w:color="auto" w:fill="auto"/>
          </w:tcPr>
          <w:p w:rsidR="00030C3C" w:rsidRPr="004D188D" w:rsidRDefault="00030C3C" w:rsidP="00030C3C">
            <w:r>
              <w:t>Risposta</w:t>
            </w:r>
          </w:p>
        </w:tc>
        <w:tc>
          <w:tcPr>
            <w:tcW w:w="2197" w:type="pct"/>
            <w:shd w:val="clear" w:color="auto" w:fill="auto"/>
          </w:tcPr>
          <w:p w:rsidR="00030C3C" w:rsidRPr="004D188D" w:rsidRDefault="00030C3C" w:rsidP="00030C3C">
            <w:r>
              <w:t xml:space="preserve">AU + </w:t>
            </w:r>
            <w:r w:rsidR="00F340AC">
              <w:t>Direzione</w:t>
            </w:r>
          </w:p>
        </w:tc>
      </w:tr>
    </w:tbl>
    <w:p w:rsidR="00563DF9" w:rsidRDefault="00563DF9" w:rsidP="00563DF9"/>
    <w:p w:rsidR="00563DF9" w:rsidRDefault="00563DF9" w:rsidP="00563DF9">
      <w:r>
        <w:t>FATTORI ABILITANTI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758"/>
      </w:tblGrid>
      <w:tr w:rsidR="00563DF9" w:rsidRPr="004D188D" w:rsidTr="00772279">
        <w:tc>
          <w:tcPr>
            <w:tcW w:w="9322" w:type="dxa"/>
            <w:shd w:val="clear" w:color="auto" w:fill="auto"/>
          </w:tcPr>
          <w:p w:rsidR="00563DF9" w:rsidRPr="004D188D" w:rsidRDefault="00563DF9" w:rsidP="00772279">
            <w:r w:rsidRPr="004D188D">
              <w:t>Inadeguatezza o assenza di controlli</w:t>
            </w:r>
          </w:p>
        </w:tc>
        <w:tc>
          <w:tcPr>
            <w:tcW w:w="758" w:type="dxa"/>
            <w:shd w:val="clear" w:color="auto" w:fill="auto"/>
          </w:tcPr>
          <w:p w:rsidR="00563DF9" w:rsidRPr="004D188D" w:rsidRDefault="00563DF9" w:rsidP="00030C3C">
            <w:pPr>
              <w:jc w:val="center"/>
            </w:pPr>
          </w:p>
        </w:tc>
      </w:tr>
      <w:tr w:rsidR="00563DF9" w:rsidRPr="004D188D" w:rsidTr="00772279">
        <w:tc>
          <w:tcPr>
            <w:tcW w:w="9322" w:type="dxa"/>
            <w:shd w:val="clear" w:color="auto" w:fill="auto"/>
          </w:tcPr>
          <w:p w:rsidR="00563DF9" w:rsidRPr="004D188D" w:rsidRDefault="00563DF9" w:rsidP="00772279">
            <w:r w:rsidRPr="004D188D">
              <w:t>Inadeguatezza o assenza di trasparenza</w:t>
            </w:r>
          </w:p>
        </w:tc>
        <w:tc>
          <w:tcPr>
            <w:tcW w:w="758" w:type="dxa"/>
            <w:shd w:val="clear" w:color="auto" w:fill="auto"/>
          </w:tcPr>
          <w:p w:rsidR="00563DF9" w:rsidRPr="004D188D" w:rsidRDefault="00563DF9" w:rsidP="00030C3C">
            <w:pPr>
              <w:jc w:val="center"/>
            </w:pPr>
          </w:p>
        </w:tc>
      </w:tr>
      <w:tr w:rsidR="00563DF9" w:rsidRPr="004D188D" w:rsidTr="00772279">
        <w:tc>
          <w:tcPr>
            <w:tcW w:w="9322" w:type="dxa"/>
            <w:shd w:val="clear" w:color="auto" w:fill="auto"/>
          </w:tcPr>
          <w:p w:rsidR="00563DF9" w:rsidRPr="004D188D" w:rsidRDefault="00563DF9" w:rsidP="00772279">
            <w:r w:rsidRPr="004D188D">
              <w:t>Eccessiva regolamentazione, complessità e scarsa chiarezza della normativa di riferimento, ovvero scarsa o</w:t>
            </w:r>
          </w:p>
        </w:tc>
        <w:tc>
          <w:tcPr>
            <w:tcW w:w="758" w:type="dxa"/>
            <w:shd w:val="clear" w:color="auto" w:fill="auto"/>
          </w:tcPr>
          <w:p w:rsidR="00563DF9" w:rsidRPr="004D188D" w:rsidRDefault="00563DF9" w:rsidP="00030C3C">
            <w:pPr>
              <w:jc w:val="center"/>
            </w:pPr>
            <w:r>
              <w:t>X</w:t>
            </w:r>
          </w:p>
        </w:tc>
      </w:tr>
      <w:tr w:rsidR="00563DF9" w:rsidRPr="004D188D" w:rsidTr="00772279">
        <w:tc>
          <w:tcPr>
            <w:tcW w:w="9322" w:type="dxa"/>
            <w:shd w:val="clear" w:color="auto" w:fill="auto"/>
          </w:tcPr>
          <w:p w:rsidR="00563DF9" w:rsidRPr="004D188D" w:rsidRDefault="00563DF9" w:rsidP="00772279">
            <w:r>
              <w:t>I</w:t>
            </w:r>
            <w:r w:rsidRPr="004D188D">
              <w:t>nsufficiente regolamentazione interna</w:t>
            </w:r>
          </w:p>
        </w:tc>
        <w:tc>
          <w:tcPr>
            <w:tcW w:w="758" w:type="dxa"/>
            <w:shd w:val="clear" w:color="auto" w:fill="auto"/>
          </w:tcPr>
          <w:p w:rsidR="00563DF9" w:rsidRPr="004D188D" w:rsidRDefault="00563DF9" w:rsidP="00030C3C">
            <w:pPr>
              <w:jc w:val="center"/>
            </w:pPr>
          </w:p>
        </w:tc>
      </w:tr>
      <w:tr w:rsidR="00563DF9" w:rsidRPr="004D188D" w:rsidTr="00772279">
        <w:tc>
          <w:tcPr>
            <w:tcW w:w="9322" w:type="dxa"/>
            <w:shd w:val="clear" w:color="auto" w:fill="auto"/>
          </w:tcPr>
          <w:p w:rsidR="00563DF9" w:rsidRPr="004D188D" w:rsidRDefault="00563DF9" w:rsidP="00772279">
            <w:r w:rsidRPr="004D188D">
              <w:t>Esercizio prolungato ed esclusivo della responsabilità di un processo da parte di pochi o di un unico soggetto</w:t>
            </w:r>
          </w:p>
        </w:tc>
        <w:tc>
          <w:tcPr>
            <w:tcW w:w="758" w:type="dxa"/>
            <w:shd w:val="clear" w:color="auto" w:fill="auto"/>
          </w:tcPr>
          <w:p w:rsidR="00563DF9" w:rsidRPr="004D188D" w:rsidRDefault="00563DF9" w:rsidP="00030C3C">
            <w:pPr>
              <w:jc w:val="center"/>
            </w:pPr>
            <w:r>
              <w:t>X</w:t>
            </w:r>
          </w:p>
        </w:tc>
      </w:tr>
      <w:tr w:rsidR="00563DF9" w:rsidRPr="004D188D" w:rsidTr="00772279">
        <w:tc>
          <w:tcPr>
            <w:tcW w:w="9322" w:type="dxa"/>
            <w:shd w:val="clear" w:color="auto" w:fill="auto"/>
          </w:tcPr>
          <w:p w:rsidR="00563DF9" w:rsidRPr="004D188D" w:rsidRDefault="00563DF9" w:rsidP="00772279">
            <w:r w:rsidRPr="004D188D">
              <w:t>Scarsa responsabilizzazione interna</w:t>
            </w:r>
          </w:p>
        </w:tc>
        <w:tc>
          <w:tcPr>
            <w:tcW w:w="758" w:type="dxa"/>
            <w:shd w:val="clear" w:color="auto" w:fill="auto"/>
          </w:tcPr>
          <w:p w:rsidR="00563DF9" w:rsidRPr="004D188D" w:rsidRDefault="00563DF9" w:rsidP="00030C3C">
            <w:pPr>
              <w:jc w:val="center"/>
            </w:pPr>
          </w:p>
        </w:tc>
      </w:tr>
      <w:tr w:rsidR="00563DF9" w:rsidRPr="004D188D" w:rsidTr="00772279">
        <w:tc>
          <w:tcPr>
            <w:tcW w:w="9322" w:type="dxa"/>
            <w:shd w:val="clear" w:color="auto" w:fill="auto"/>
          </w:tcPr>
          <w:p w:rsidR="00563DF9" w:rsidRPr="004D188D" w:rsidRDefault="00563DF9" w:rsidP="00772279">
            <w:r w:rsidRPr="004D188D">
              <w:t>Inadeguatezza o assenza di competenze del personale addetto al processo</w:t>
            </w:r>
          </w:p>
        </w:tc>
        <w:tc>
          <w:tcPr>
            <w:tcW w:w="758" w:type="dxa"/>
            <w:shd w:val="clear" w:color="auto" w:fill="auto"/>
          </w:tcPr>
          <w:p w:rsidR="00563DF9" w:rsidRPr="004D188D" w:rsidRDefault="00563DF9" w:rsidP="00030C3C">
            <w:pPr>
              <w:jc w:val="center"/>
            </w:pPr>
          </w:p>
        </w:tc>
      </w:tr>
      <w:tr w:rsidR="00563DF9" w:rsidRPr="004D188D" w:rsidTr="00772279">
        <w:tc>
          <w:tcPr>
            <w:tcW w:w="9322" w:type="dxa"/>
            <w:shd w:val="clear" w:color="auto" w:fill="auto"/>
          </w:tcPr>
          <w:p w:rsidR="00563DF9" w:rsidRPr="004D188D" w:rsidRDefault="00563DF9" w:rsidP="00772279">
            <w:r w:rsidRPr="004D188D">
              <w:t>Inadeguata diffusione della cultura della legalità</w:t>
            </w:r>
          </w:p>
        </w:tc>
        <w:tc>
          <w:tcPr>
            <w:tcW w:w="758" w:type="dxa"/>
            <w:shd w:val="clear" w:color="auto" w:fill="auto"/>
          </w:tcPr>
          <w:p w:rsidR="00563DF9" w:rsidRPr="004D188D" w:rsidRDefault="00563DF9" w:rsidP="00030C3C">
            <w:pPr>
              <w:jc w:val="center"/>
            </w:pPr>
          </w:p>
        </w:tc>
      </w:tr>
      <w:tr w:rsidR="00563DF9" w:rsidRPr="004D188D" w:rsidTr="00772279">
        <w:tc>
          <w:tcPr>
            <w:tcW w:w="9322" w:type="dxa"/>
            <w:shd w:val="clear" w:color="auto" w:fill="auto"/>
          </w:tcPr>
          <w:p w:rsidR="00563DF9" w:rsidRPr="004D188D" w:rsidRDefault="00563DF9" w:rsidP="00772279">
            <w:r w:rsidRPr="004D188D">
              <w:t>Mancata attuazione del principio di separazione tra politica e gestione</w:t>
            </w:r>
          </w:p>
        </w:tc>
        <w:tc>
          <w:tcPr>
            <w:tcW w:w="758" w:type="dxa"/>
            <w:shd w:val="clear" w:color="auto" w:fill="auto"/>
          </w:tcPr>
          <w:p w:rsidR="00563DF9" w:rsidRPr="004D188D" w:rsidRDefault="00563DF9" w:rsidP="00030C3C">
            <w:pPr>
              <w:jc w:val="center"/>
            </w:pPr>
          </w:p>
        </w:tc>
      </w:tr>
      <w:tr w:rsidR="00563DF9" w:rsidRPr="004D188D" w:rsidTr="00772279">
        <w:tc>
          <w:tcPr>
            <w:tcW w:w="9322" w:type="dxa"/>
            <w:shd w:val="clear" w:color="auto" w:fill="auto"/>
          </w:tcPr>
          <w:p w:rsidR="00563DF9" w:rsidRPr="004D188D" w:rsidRDefault="00563DF9" w:rsidP="00772279">
            <w:r w:rsidRPr="004D188D">
              <w:t>Conflitto di interessi in capo ai titolari del procedimento</w:t>
            </w:r>
          </w:p>
        </w:tc>
        <w:tc>
          <w:tcPr>
            <w:tcW w:w="758" w:type="dxa"/>
            <w:shd w:val="clear" w:color="auto" w:fill="auto"/>
          </w:tcPr>
          <w:p w:rsidR="00563DF9" w:rsidRPr="004D188D" w:rsidRDefault="00030C3C" w:rsidP="00030C3C">
            <w:pPr>
              <w:jc w:val="center"/>
            </w:pPr>
            <w:r>
              <w:t>X</w:t>
            </w:r>
          </w:p>
        </w:tc>
      </w:tr>
    </w:tbl>
    <w:p w:rsidR="00563DF9" w:rsidRPr="00411957" w:rsidRDefault="00563DF9" w:rsidP="00187ED9">
      <w:pPr>
        <w:rPr>
          <w:b/>
          <w:bCs/>
          <w:i/>
          <w:noProof/>
          <w:color w:val="FFC000"/>
        </w:rPr>
      </w:pPr>
    </w:p>
    <w:p w:rsidR="00133ED3" w:rsidRPr="00E606E6" w:rsidRDefault="00133ED3" w:rsidP="00C728EC">
      <w:pPr>
        <w:pStyle w:val="Titolo3"/>
      </w:pPr>
      <w:bookmarkStart w:id="131" w:name="_Toc101602027"/>
      <w:r w:rsidRPr="00E606E6">
        <w:t>G.4.1.H. Affari legali e contenzioso</w:t>
      </w:r>
      <w:bookmarkEnd w:id="128"/>
      <w:bookmarkEnd w:id="129"/>
      <w:bookmarkEnd w:id="130"/>
      <w:bookmarkEnd w:id="131"/>
    </w:p>
    <w:p w:rsidR="00133ED3" w:rsidRPr="00B67FEC" w:rsidRDefault="00133ED3" w:rsidP="0049154B">
      <w:pPr>
        <w:rPr>
          <w:rFonts w:cs="Calibri"/>
          <w:noProof/>
          <w:szCs w:val="20"/>
        </w:rPr>
      </w:pPr>
      <w:r w:rsidRPr="00B67FEC">
        <w:rPr>
          <w:rFonts w:cs="Calibri"/>
          <w:noProof/>
          <w:szCs w:val="20"/>
        </w:rPr>
        <w:t xml:space="preserve">Numero di processi mappati per l'area di rischio: </w:t>
      </w:r>
      <w:r w:rsidR="003D6F27" w:rsidRPr="00B67FEC">
        <w:rPr>
          <w:rFonts w:cs="Calibri"/>
          <w:noProof/>
          <w:szCs w:val="20"/>
        </w:rPr>
        <w:t>0</w:t>
      </w:r>
    </w:p>
    <w:p w:rsidR="00133ED3" w:rsidRPr="00E606E6" w:rsidRDefault="00133ED3" w:rsidP="00C728EC">
      <w:pPr>
        <w:pStyle w:val="Titolo3"/>
      </w:pPr>
      <w:bookmarkStart w:id="132" w:name="_Toc28966894"/>
      <w:bookmarkStart w:id="133" w:name="_Toc28967114"/>
      <w:bookmarkStart w:id="134" w:name="_Toc28967367"/>
      <w:bookmarkStart w:id="135" w:name="_Toc101602028"/>
      <w:r w:rsidRPr="00E606E6">
        <w:t>G.4.1.I. Altre Aree di rischio (generali e specifiche)</w:t>
      </w:r>
      <w:bookmarkEnd w:id="132"/>
      <w:bookmarkEnd w:id="133"/>
      <w:bookmarkEnd w:id="134"/>
      <w:bookmarkEnd w:id="135"/>
    </w:p>
    <w:p w:rsidR="00133ED3" w:rsidRPr="00B67FEC" w:rsidRDefault="00133ED3" w:rsidP="0049154B">
      <w:pPr>
        <w:rPr>
          <w:rFonts w:cs="Calibri"/>
          <w:noProof/>
          <w:szCs w:val="20"/>
        </w:rPr>
      </w:pPr>
      <w:r w:rsidRPr="00B67FEC">
        <w:rPr>
          <w:rFonts w:cs="Calibri"/>
          <w:noProof/>
          <w:szCs w:val="20"/>
        </w:rPr>
        <w:t xml:space="preserve">Numero di processi mappati per l'area di rischio: </w:t>
      </w:r>
      <w:r w:rsidR="00B264D6" w:rsidRPr="00B67FEC">
        <w:rPr>
          <w:rFonts w:cs="Calibri"/>
          <w:noProof/>
          <w:szCs w:val="20"/>
        </w:rPr>
        <w:t>0</w:t>
      </w:r>
    </w:p>
    <w:p w:rsidR="00187ED9" w:rsidRDefault="00922B6F" w:rsidP="00187ED9">
      <w:pPr>
        <w:rPr>
          <w:rFonts w:cs="Calibri"/>
          <w:noProof/>
          <w:color w:val="FFC000"/>
          <w:szCs w:val="20"/>
        </w:rPr>
      </w:pPr>
      <w:r w:rsidRPr="00411957">
        <w:rPr>
          <w:rFonts w:cs="Calibri"/>
          <w:noProof/>
          <w:color w:val="FFC000"/>
          <w:szCs w:val="20"/>
        </w:rPr>
        <w:t>GESTIONE SISTEMI INFORMATIVI.</w:t>
      </w:r>
    </w:p>
    <w:p w:rsidR="00732861" w:rsidRPr="00732861" w:rsidRDefault="00D801CA" w:rsidP="00732861">
      <w:pPr>
        <w:pStyle w:val="Paragrafoelenco"/>
        <w:numPr>
          <w:ilvl w:val="0"/>
          <w:numId w:val="28"/>
        </w:numPr>
        <w:rPr>
          <w:rFonts w:cs="Calibri"/>
          <w:noProof/>
          <w:color w:val="FFC000"/>
          <w:szCs w:val="20"/>
        </w:rPr>
      </w:pPr>
      <w:r w:rsidRPr="00D801CA">
        <w:rPr>
          <w:rFonts w:cs="Calibri"/>
          <w:noProof/>
          <w:color w:val="FFC000"/>
          <w:szCs w:val="20"/>
        </w:rPr>
        <w:t>16 CED (Protocollo 8 MOG 231)</w:t>
      </w:r>
    </w:p>
    <w:p w:rsidR="00187ED9" w:rsidRDefault="00187ED9" w:rsidP="00187ED9">
      <w:pPr>
        <w:rPr>
          <w:rFonts w:cs="Calibri"/>
          <w:noProof/>
          <w:color w:val="FFC000"/>
          <w:szCs w:val="20"/>
        </w:rPr>
      </w:pPr>
      <w:r w:rsidRPr="00411957">
        <w:rPr>
          <w:rFonts w:cs="Calibri"/>
          <w:noProof/>
          <w:color w:val="FFC000"/>
          <w:szCs w:val="20"/>
        </w:rPr>
        <w:t>GESTIONE DEL SISTEMA SICUREZZA</w:t>
      </w:r>
      <w:r w:rsidR="00922B6F" w:rsidRPr="00411957">
        <w:rPr>
          <w:rFonts w:cs="Calibri"/>
          <w:noProof/>
          <w:color w:val="FFC000"/>
          <w:szCs w:val="20"/>
        </w:rPr>
        <w:t xml:space="preserve"> EX D.LGS. 81/2008 E SUCC. MOD.</w:t>
      </w:r>
    </w:p>
    <w:p w:rsidR="00732861" w:rsidRPr="00732861" w:rsidRDefault="00D801CA" w:rsidP="00732861">
      <w:pPr>
        <w:pStyle w:val="Paragrafoelenco"/>
        <w:numPr>
          <w:ilvl w:val="0"/>
          <w:numId w:val="28"/>
        </w:numPr>
        <w:rPr>
          <w:rFonts w:cs="Calibri"/>
          <w:noProof/>
          <w:color w:val="FFC000"/>
          <w:szCs w:val="20"/>
        </w:rPr>
      </w:pPr>
      <w:r w:rsidRPr="00D801CA">
        <w:rPr>
          <w:rFonts w:cs="Calibri"/>
          <w:noProof/>
          <w:color w:val="FFC000"/>
          <w:szCs w:val="20"/>
        </w:rPr>
        <w:t>17 81/2008 (Protocollo 9 MOG 231)</w:t>
      </w:r>
    </w:p>
    <w:p w:rsidR="00187ED9" w:rsidRDefault="00187ED9" w:rsidP="00187ED9">
      <w:pPr>
        <w:rPr>
          <w:rFonts w:cs="Calibri"/>
          <w:noProof/>
          <w:color w:val="00B050"/>
          <w:szCs w:val="20"/>
        </w:rPr>
      </w:pPr>
      <w:r w:rsidRPr="00F340AC">
        <w:rPr>
          <w:rFonts w:cs="Calibri"/>
          <w:noProof/>
          <w:color w:val="00B050"/>
          <w:szCs w:val="20"/>
        </w:rPr>
        <w:t>GESTIONE DEGLI ADEMPIMENTI AMBIENTALI.</w:t>
      </w:r>
    </w:p>
    <w:p w:rsidR="00732861" w:rsidRPr="00732861" w:rsidRDefault="00D801CA" w:rsidP="00732861">
      <w:pPr>
        <w:pStyle w:val="Paragrafoelenco"/>
        <w:numPr>
          <w:ilvl w:val="0"/>
          <w:numId w:val="28"/>
        </w:numPr>
        <w:rPr>
          <w:rFonts w:cs="Calibri"/>
          <w:noProof/>
          <w:color w:val="00B050"/>
          <w:szCs w:val="20"/>
        </w:rPr>
      </w:pPr>
      <w:r w:rsidRPr="00D801CA">
        <w:rPr>
          <w:rFonts w:cs="Calibri"/>
          <w:noProof/>
          <w:color w:val="00B050"/>
          <w:szCs w:val="20"/>
        </w:rPr>
        <w:t>18 Rifiuti (Protocollo 13 MOG 231)</w:t>
      </w:r>
    </w:p>
    <w:p w:rsidR="00133ED3" w:rsidRDefault="00133ED3" w:rsidP="0049154B">
      <w:pPr>
        <w:rPr>
          <w:rFonts w:cs="Calibri"/>
          <w:lang w:eastAsia="en-US"/>
        </w:rPr>
      </w:pPr>
    </w:p>
    <w:p w:rsidR="00D857F5" w:rsidRDefault="00D857F5" w:rsidP="0049154B">
      <w:pPr>
        <w:rPr>
          <w:rFonts w:cs="Calibri"/>
          <w:lang w:eastAsia="en-US"/>
        </w:rPr>
      </w:pPr>
    </w:p>
    <w:p w:rsidR="00D857F5" w:rsidRDefault="00D857F5" w:rsidP="0049154B">
      <w:pPr>
        <w:rPr>
          <w:rFonts w:cs="Calibri"/>
          <w:lang w:eastAsia="en-US"/>
        </w:rPr>
      </w:pPr>
    </w:p>
    <w:p w:rsidR="00D857F5" w:rsidRDefault="00D857F5" w:rsidP="0049154B">
      <w:pPr>
        <w:rPr>
          <w:rFonts w:cs="Calibri"/>
          <w:lang w:eastAsia="en-US"/>
        </w:rPr>
      </w:pPr>
    </w:p>
    <w:p w:rsidR="00745316" w:rsidRDefault="00745316" w:rsidP="00745316">
      <w:r>
        <w:lastRenderedPageBreak/>
        <w:t>MAPPATURA PROCESSO</w:t>
      </w:r>
      <w:r>
        <w:tab/>
      </w:r>
      <w:r>
        <w:tab/>
      </w:r>
      <w:r>
        <w:tab/>
      </w:r>
      <w:r>
        <w:tab/>
      </w:r>
      <w:r>
        <w:tab/>
      </w:r>
      <w:r>
        <w:tab/>
        <w:t xml:space="preserve">  RESPONSABILITA’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4619"/>
        <w:gridCol w:w="4429"/>
      </w:tblGrid>
      <w:tr w:rsidR="00745316" w:rsidRPr="004D188D" w:rsidTr="00772279">
        <w:tc>
          <w:tcPr>
            <w:tcW w:w="512" w:type="pct"/>
            <w:shd w:val="clear" w:color="auto" w:fill="auto"/>
          </w:tcPr>
          <w:p w:rsidR="00745316" w:rsidRPr="004D188D" w:rsidRDefault="00745316" w:rsidP="00772279">
            <w:r>
              <w:t>Input</w:t>
            </w:r>
          </w:p>
        </w:tc>
        <w:tc>
          <w:tcPr>
            <w:tcW w:w="2291" w:type="pct"/>
            <w:shd w:val="clear" w:color="auto" w:fill="auto"/>
          </w:tcPr>
          <w:p w:rsidR="00745316" w:rsidRDefault="00745316" w:rsidP="00772279">
            <w:r>
              <w:t>Gestione infrastruttura tecnologica</w:t>
            </w:r>
          </w:p>
          <w:p w:rsidR="00745316" w:rsidRPr="004D188D" w:rsidRDefault="00745316" w:rsidP="00772279">
            <w:r>
              <w:t>Adempimento normativo sicurezza e ambiente</w:t>
            </w:r>
          </w:p>
        </w:tc>
        <w:tc>
          <w:tcPr>
            <w:tcW w:w="2197" w:type="pct"/>
            <w:shd w:val="clear" w:color="auto" w:fill="auto"/>
          </w:tcPr>
          <w:p w:rsidR="00745316" w:rsidRDefault="00745316" w:rsidP="00772279">
            <w:r>
              <w:t>Amministrazione</w:t>
            </w:r>
          </w:p>
        </w:tc>
      </w:tr>
      <w:tr w:rsidR="00745316" w:rsidRPr="004D188D" w:rsidTr="00772279">
        <w:tc>
          <w:tcPr>
            <w:tcW w:w="512" w:type="pct"/>
            <w:shd w:val="clear" w:color="auto" w:fill="auto"/>
          </w:tcPr>
          <w:p w:rsidR="00745316" w:rsidRDefault="00745316" w:rsidP="00772279">
            <w:r>
              <w:t>Attività</w:t>
            </w:r>
          </w:p>
        </w:tc>
        <w:tc>
          <w:tcPr>
            <w:tcW w:w="2291" w:type="pct"/>
            <w:shd w:val="clear" w:color="auto" w:fill="auto"/>
          </w:tcPr>
          <w:p w:rsidR="00745316" w:rsidRDefault="00745316" w:rsidP="00772279">
            <w:r>
              <w:t>Tutela della sicurezza dei dati, compreso GDPR</w:t>
            </w:r>
          </w:p>
          <w:p w:rsidR="00745316" w:rsidRDefault="00745316" w:rsidP="00772279">
            <w:r>
              <w:t>Gestione sicurezza dei lavoratori (formazione, DPI)</w:t>
            </w:r>
          </w:p>
          <w:p w:rsidR="00745316" w:rsidRPr="004D188D" w:rsidRDefault="00745316" w:rsidP="00772279">
            <w:r>
              <w:t>Corretto conferimento rifiuti e gestione farmaci scaduti</w:t>
            </w:r>
          </w:p>
        </w:tc>
        <w:tc>
          <w:tcPr>
            <w:tcW w:w="2197" w:type="pct"/>
            <w:shd w:val="clear" w:color="auto" w:fill="auto"/>
          </w:tcPr>
          <w:p w:rsidR="00745316" w:rsidRDefault="00745316" w:rsidP="00772279">
            <w:r>
              <w:t>Amministrazione</w:t>
            </w:r>
          </w:p>
          <w:p w:rsidR="00745316" w:rsidRDefault="00745316" w:rsidP="00772279">
            <w:r>
              <w:t>RSPP</w:t>
            </w:r>
          </w:p>
          <w:p w:rsidR="00745316" w:rsidRDefault="00745316" w:rsidP="00772279">
            <w:r>
              <w:t>Farmacie + Amministrazione</w:t>
            </w:r>
          </w:p>
          <w:p w:rsidR="00745316" w:rsidRPr="004D188D" w:rsidRDefault="00745316" w:rsidP="00772279"/>
        </w:tc>
      </w:tr>
      <w:tr w:rsidR="00745316" w:rsidRPr="004D188D" w:rsidTr="00772279">
        <w:tc>
          <w:tcPr>
            <w:tcW w:w="512" w:type="pct"/>
            <w:shd w:val="clear" w:color="auto" w:fill="auto"/>
          </w:tcPr>
          <w:p w:rsidR="00745316" w:rsidRPr="004D188D" w:rsidRDefault="00745316" w:rsidP="00772279">
            <w:r>
              <w:t>Output</w:t>
            </w:r>
          </w:p>
        </w:tc>
        <w:tc>
          <w:tcPr>
            <w:tcW w:w="2291" w:type="pct"/>
            <w:shd w:val="clear" w:color="auto" w:fill="auto"/>
          </w:tcPr>
          <w:p w:rsidR="00745316" w:rsidRPr="004D188D" w:rsidRDefault="00745316" w:rsidP="00772279">
            <w:proofErr w:type="spellStart"/>
            <w:r>
              <w:t>Compliance</w:t>
            </w:r>
            <w:proofErr w:type="spellEnd"/>
            <w:r>
              <w:t xml:space="preserve"> normativa</w:t>
            </w:r>
          </w:p>
        </w:tc>
        <w:tc>
          <w:tcPr>
            <w:tcW w:w="2197" w:type="pct"/>
            <w:shd w:val="clear" w:color="auto" w:fill="auto"/>
          </w:tcPr>
          <w:p w:rsidR="00745316" w:rsidRPr="004D188D" w:rsidRDefault="00745316" w:rsidP="00772279"/>
        </w:tc>
      </w:tr>
    </w:tbl>
    <w:p w:rsidR="00745316" w:rsidRDefault="00745316" w:rsidP="00745316"/>
    <w:p w:rsidR="00745316" w:rsidRDefault="00745316" w:rsidP="00745316">
      <w:r>
        <w:t>FATTORI ABILITANTI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758"/>
      </w:tblGrid>
      <w:tr w:rsidR="00745316" w:rsidRPr="004D188D" w:rsidTr="00772279">
        <w:tc>
          <w:tcPr>
            <w:tcW w:w="9322" w:type="dxa"/>
            <w:shd w:val="clear" w:color="auto" w:fill="auto"/>
          </w:tcPr>
          <w:p w:rsidR="00745316" w:rsidRPr="004D188D" w:rsidRDefault="00745316" w:rsidP="00772279">
            <w:r w:rsidRPr="004D188D">
              <w:t>Inadeguatezza o assenza di controlli</w:t>
            </w:r>
          </w:p>
        </w:tc>
        <w:tc>
          <w:tcPr>
            <w:tcW w:w="758" w:type="dxa"/>
            <w:shd w:val="clear" w:color="auto" w:fill="auto"/>
          </w:tcPr>
          <w:p w:rsidR="00745316" w:rsidRPr="004D188D" w:rsidRDefault="00745316" w:rsidP="00772279">
            <w:pPr>
              <w:jc w:val="center"/>
            </w:pPr>
            <w:r>
              <w:t>X</w:t>
            </w:r>
          </w:p>
        </w:tc>
      </w:tr>
      <w:tr w:rsidR="00745316" w:rsidRPr="004D188D" w:rsidTr="00772279">
        <w:tc>
          <w:tcPr>
            <w:tcW w:w="9322" w:type="dxa"/>
            <w:shd w:val="clear" w:color="auto" w:fill="auto"/>
          </w:tcPr>
          <w:p w:rsidR="00745316" w:rsidRPr="004D188D" w:rsidRDefault="00745316" w:rsidP="00772279">
            <w:r w:rsidRPr="004D188D">
              <w:t>Inadeguatezza o assenza di trasparenza</w:t>
            </w:r>
          </w:p>
        </w:tc>
        <w:tc>
          <w:tcPr>
            <w:tcW w:w="758" w:type="dxa"/>
            <w:shd w:val="clear" w:color="auto" w:fill="auto"/>
          </w:tcPr>
          <w:p w:rsidR="00745316" w:rsidRPr="004D188D" w:rsidRDefault="00745316" w:rsidP="00772279">
            <w:pPr>
              <w:jc w:val="center"/>
            </w:pPr>
          </w:p>
        </w:tc>
      </w:tr>
      <w:tr w:rsidR="00745316" w:rsidRPr="004D188D" w:rsidTr="00772279">
        <w:tc>
          <w:tcPr>
            <w:tcW w:w="9322" w:type="dxa"/>
            <w:shd w:val="clear" w:color="auto" w:fill="auto"/>
          </w:tcPr>
          <w:p w:rsidR="00745316" w:rsidRPr="004D188D" w:rsidRDefault="00745316" w:rsidP="00772279">
            <w:r w:rsidRPr="004D188D">
              <w:t>Eccessiva regolamentazione, complessità e scarsa chiarezza della normativa di riferimento, ovvero scarsa o</w:t>
            </w:r>
          </w:p>
        </w:tc>
        <w:tc>
          <w:tcPr>
            <w:tcW w:w="758" w:type="dxa"/>
            <w:shd w:val="clear" w:color="auto" w:fill="auto"/>
          </w:tcPr>
          <w:p w:rsidR="00745316" w:rsidRPr="004D188D" w:rsidRDefault="00745316" w:rsidP="00772279">
            <w:pPr>
              <w:jc w:val="center"/>
            </w:pPr>
            <w:r>
              <w:t>X</w:t>
            </w:r>
          </w:p>
        </w:tc>
      </w:tr>
      <w:tr w:rsidR="00745316" w:rsidRPr="004D188D" w:rsidTr="00772279">
        <w:tc>
          <w:tcPr>
            <w:tcW w:w="9322" w:type="dxa"/>
            <w:shd w:val="clear" w:color="auto" w:fill="auto"/>
          </w:tcPr>
          <w:p w:rsidR="00745316" w:rsidRPr="004D188D" w:rsidRDefault="00745316" w:rsidP="00772279">
            <w:r>
              <w:t>I</w:t>
            </w:r>
            <w:r w:rsidRPr="004D188D">
              <w:t>nsufficiente regolamentazione interna</w:t>
            </w:r>
          </w:p>
        </w:tc>
        <w:tc>
          <w:tcPr>
            <w:tcW w:w="758" w:type="dxa"/>
            <w:shd w:val="clear" w:color="auto" w:fill="auto"/>
          </w:tcPr>
          <w:p w:rsidR="00745316" w:rsidRPr="004D188D" w:rsidRDefault="00745316" w:rsidP="00772279">
            <w:pPr>
              <w:jc w:val="center"/>
            </w:pPr>
          </w:p>
        </w:tc>
      </w:tr>
      <w:tr w:rsidR="00745316" w:rsidRPr="004D188D" w:rsidTr="00772279">
        <w:tc>
          <w:tcPr>
            <w:tcW w:w="9322" w:type="dxa"/>
            <w:shd w:val="clear" w:color="auto" w:fill="auto"/>
          </w:tcPr>
          <w:p w:rsidR="00745316" w:rsidRPr="004D188D" w:rsidRDefault="00745316" w:rsidP="00772279">
            <w:r w:rsidRPr="004D188D">
              <w:t>Esercizio prolungato ed esclusivo della responsabilità di un processo da parte di pochi o di un unico soggetto</w:t>
            </w:r>
          </w:p>
        </w:tc>
        <w:tc>
          <w:tcPr>
            <w:tcW w:w="758" w:type="dxa"/>
            <w:shd w:val="clear" w:color="auto" w:fill="auto"/>
          </w:tcPr>
          <w:p w:rsidR="00745316" w:rsidRPr="004D188D" w:rsidRDefault="00745316" w:rsidP="00772279">
            <w:pPr>
              <w:jc w:val="center"/>
            </w:pPr>
          </w:p>
        </w:tc>
      </w:tr>
      <w:tr w:rsidR="00745316" w:rsidRPr="004D188D" w:rsidTr="00772279">
        <w:tc>
          <w:tcPr>
            <w:tcW w:w="9322" w:type="dxa"/>
            <w:shd w:val="clear" w:color="auto" w:fill="auto"/>
          </w:tcPr>
          <w:p w:rsidR="00745316" w:rsidRPr="004D188D" w:rsidRDefault="00745316" w:rsidP="00772279">
            <w:r w:rsidRPr="004D188D">
              <w:t>Scarsa responsabilizzazione interna</w:t>
            </w:r>
          </w:p>
        </w:tc>
        <w:tc>
          <w:tcPr>
            <w:tcW w:w="758" w:type="dxa"/>
            <w:shd w:val="clear" w:color="auto" w:fill="auto"/>
          </w:tcPr>
          <w:p w:rsidR="00745316" w:rsidRPr="004D188D" w:rsidRDefault="00745316" w:rsidP="00772279">
            <w:pPr>
              <w:jc w:val="center"/>
            </w:pPr>
          </w:p>
        </w:tc>
      </w:tr>
      <w:tr w:rsidR="00745316" w:rsidRPr="004D188D" w:rsidTr="00772279">
        <w:tc>
          <w:tcPr>
            <w:tcW w:w="9322" w:type="dxa"/>
            <w:shd w:val="clear" w:color="auto" w:fill="auto"/>
          </w:tcPr>
          <w:p w:rsidR="00745316" w:rsidRPr="004D188D" w:rsidRDefault="00745316" w:rsidP="00772279">
            <w:r w:rsidRPr="004D188D">
              <w:t>Inadeguatezza o assenza di competenze del personale addetto al processo</w:t>
            </w:r>
          </w:p>
        </w:tc>
        <w:tc>
          <w:tcPr>
            <w:tcW w:w="758" w:type="dxa"/>
            <w:shd w:val="clear" w:color="auto" w:fill="auto"/>
          </w:tcPr>
          <w:p w:rsidR="00745316" w:rsidRPr="004D188D" w:rsidRDefault="00745316" w:rsidP="00772279">
            <w:pPr>
              <w:jc w:val="center"/>
            </w:pPr>
          </w:p>
        </w:tc>
      </w:tr>
      <w:tr w:rsidR="00745316" w:rsidRPr="004D188D" w:rsidTr="00772279">
        <w:tc>
          <w:tcPr>
            <w:tcW w:w="9322" w:type="dxa"/>
            <w:shd w:val="clear" w:color="auto" w:fill="auto"/>
          </w:tcPr>
          <w:p w:rsidR="00745316" w:rsidRPr="004D188D" w:rsidRDefault="00745316" w:rsidP="00772279">
            <w:r w:rsidRPr="004D188D">
              <w:t>Inadeguata diffusione della cultura della legalità</w:t>
            </w:r>
          </w:p>
        </w:tc>
        <w:tc>
          <w:tcPr>
            <w:tcW w:w="758" w:type="dxa"/>
            <w:shd w:val="clear" w:color="auto" w:fill="auto"/>
          </w:tcPr>
          <w:p w:rsidR="00745316" w:rsidRPr="004D188D" w:rsidRDefault="00745316" w:rsidP="00772279">
            <w:pPr>
              <w:jc w:val="center"/>
            </w:pPr>
          </w:p>
        </w:tc>
      </w:tr>
      <w:tr w:rsidR="00745316" w:rsidRPr="004D188D" w:rsidTr="00772279">
        <w:tc>
          <w:tcPr>
            <w:tcW w:w="9322" w:type="dxa"/>
            <w:shd w:val="clear" w:color="auto" w:fill="auto"/>
          </w:tcPr>
          <w:p w:rsidR="00745316" w:rsidRPr="004D188D" w:rsidRDefault="00745316" w:rsidP="00772279">
            <w:r w:rsidRPr="004D188D">
              <w:t>Mancata attuazione del principio di separazione tra politica e gestione</w:t>
            </w:r>
          </w:p>
        </w:tc>
        <w:tc>
          <w:tcPr>
            <w:tcW w:w="758" w:type="dxa"/>
            <w:shd w:val="clear" w:color="auto" w:fill="auto"/>
          </w:tcPr>
          <w:p w:rsidR="00745316" w:rsidRPr="004D188D" w:rsidRDefault="00745316" w:rsidP="00772279">
            <w:pPr>
              <w:jc w:val="center"/>
            </w:pPr>
          </w:p>
        </w:tc>
      </w:tr>
      <w:tr w:rsidR="00745316" w:rsidRPr="004D188D" w:rsidTr="00772279">
        <w:tc>
          <w:tcPr>
            <w:tcW w:w="9322" w:type="dxa"/>
            <w:shd w:val="clear" w:color="auto" w:fill="auto"/>
          </w:tcPr>
          <w:p w:rsidR="00745316" w:rsidRPr="004D188D" w:rsidRDefault="00745316" w:rsidP="00772279">
            <w:r w:rsidRPr="004D188D">
              <w:t>Conflitto di interessi in capo ai titolari del procedimento</w:t>
            </w:r>
          </w:p>
        </w:tc>
        <w:tc>
          <w:tcPr>
            <w:tcW w:w="758" w:type="dxa"/>
            <w:shd w:val="clear" w:color="auto" w:fill="auto"/>
          </w:tcPr>
          <w:p w:rsidR="00745316" w:rsidRPr="004D188D" w:rsidRDefault="00745316" w:rsidP="00772279">
            <w:pPr>
              <w:jc w:val="center"/>
            </w:pPr>
            <w:r>
              <w:t>X</w:t>
            </w:r>
          </w:p>
        </w:tc>
      </w:tr>
    </w:tbl>
    <w:p w:rsidR="00745316" w:rsidRPr="00B67FEC" w:rsidRDefault="00745316" w:rsidP="0049154B">
      <w:pPr>
        <w:rPr>
          <w:rFonts w:cs="Calibri"/>
          <w:lang w:eastAsia="en-US"/>
        </w:rPr>
      </w:pPr>
    </w:p>
    <w:p w:rsidR="00700A69" w:rsidRPr="00745316" w:rsidRDefault="00700A69" w:rsidP="00700A69">
      <w:pPr>
        <w:rPr>
          <w:rFonts w:cs="Calibri"/>
          <w:bCs/>
          <w:noProof/>
          <w:szCs w:val="20"/>
        </w:rPr>
      </w:pPr>
      <w:r w:rsidRPr="00745316">
        <w:rPr>
          <w:rFonts w:cs="Calibri"/>
          <w:bCs/>
          <w:noProof/>
          <w:szCs w:val="20"/>
        </w:rPr>
        <w:t>Nell’allegato “</w:t>
      </w:r>
      <w:r w:rsidR="00B61F65">
        <w:rPr>
          <w:rFonts w:cs="Calibri"/>
          <w:bCs/>
          <w:noProof/>
          <w:szCs w:val="20"/>
        </w:rPr>
        <w:t>Piano dei Rischi 2022</w:t>
      </w:r>
      <w:r w:rsidRPr="00745316">
        <w:rPr>
          <w:rFonts w:cs="Calibri"/>
          <w:bCs/>
          <w:noProof/>
          <w:szCs w:val="20"/>
        </w:rPr>
        <w:t xml:space="preserve">” sono riportati fasi, attività e responsabili per ogni </w:t>
      </w:r>
      <w:r w:rsidR="00745316" w:rsidRPr="00745316">
        <w:rPr>
          <w:rFonts w:cs="Calibri"/>
          <w:bCs/>
          <w:noProof/>
          <w:szCs w:val="20"/>
        </w:rPr>
        <w:t>misura specifica di mitigazine del rischio elaborata per Segrate Servizi Srl</w:t>
      </w:r>
      <w:r w:rsidRPr="00745316">
        <w:rPr>
          <w:rFonts w:cs="Calibri"/>
          <w:bCs/>
          <w:noProof/>
          <w:szCs w:val="20"/>
        </w:rPr>
        <w:t>.</w:t>
      </w:r>
    </w:p>
    <w:p w:rsidR="00E75E50" w:rsidRPr="00B67FEC" w:rsidRDefault="00E75E50" w:rsidP="00B264D6">
      <w:pPr>
        <w:pStyle w:val="Titolo1"/>
        <w:rPr>
          <w:rFonts w:cs="Calibri"/>
          <w:noProof/>
          <w:sz w:val="20"/>
          <w:szCs w:val="20"/>
        </w:rPr>
      </w:pPr>
      <w:bookmarkStart w:id="136" w:name="_Toc28966895"/>
      <w:bookmarkStart w:id="137" w:name="_Toc28967115"/>
      <w:bookmarkStart w:id="138" w:name="_Toc28967368"/>
      <w:bookmarkStart w:id="139" w:name="_Toc101602029"/>
      <w:r w:rsidRPr="00B67FEC">
        <w:rPr>
          <w:rFonts w:cs="Calibri"/>
        </w:rPr>
        <w:t>H. VALUTAZIONE DEL RISCHIO</w:t>
      </w:r>
      <w:bookmarkEnd w:id="136"/>
      <w:bookmarkEnd w:id="137"/>
      <w:bookmarkEnd w:id="138"/>
      <w:bookmarkEnd w:id="139"/>
    </w:p>
    <w:p w:rsidR="00C557B7" w:rsidRPr="00E606E6" w:rsidRDefault="00C728EC" w:rsidP="00E606E6">
      <w:pPr>
        <w:pStyle w:val="Titolo3"/>
      </w:pPr>
      <w:bookmarkStart w:id="140" w:name="_Toc28881631"/>
      <w:bookmarkStart w:id="141" w:name="_Toc28966896"/>
      <w:bookmarkStart w:id="142" w:name="_Toc28967116"/>
      <w:bookmarkStart w:id="143" w:name="_Toc28967369"/>
      <w:bookmarkStart w:id="144" w:name="_Toc101602030"/>
      <w:r w:rsidRPr="00E606E6">
        <w:t>Analisi e gestione del rischio</w:t>
      </w:r>
      <w:bookmarkEnd w:id="140"/>
      <w:bookmarkEnd w:id="141"/>
      <w:bookmarkEnd w:id="142"/>
      <w:bookmarkEnd w:id="143"/>
      <w:bookmarkEnd w:id="144"/>
    </w:p>
    <w:p w:rsidR="004D24CB" w:rsidRPr="00B67FEC" w:rsidRDefault="004D24CB" w:rsidP="0049154B">
      <w:pPr>
        <w:rPr>
          <w:rFonts w:cs="Calibri"/>
          <w:szCs w:val="20"/>
        </w:rPr>
      </w:pPr>
      <w:r w:rsidRPr="00B67FEC">
        <w:rPr>
          <w:rFonts w:cs="Calibri"/>
          <w:szCs w:val="20"/>
        </w:rPr>
        <w:t xml:space="preserve">Ai sensi dell’art. 3 legge 241-1990 e ss. mm. </w:t>
      </w:r>
      <w:proofErr w:type="spellStart"/>
      <w:r w:rsidRPr="00B67FEC">
        <w:rPr>
          <w:rFonts w:cs="Calibri"/>
          <w:szCs w:val="20"/>
        </w:rPr>
        <w:t>ii</w:t>
      </w:r>
      <w:proofErr w:type="spellEnd"/>
      <w:r w:rsidRPr="00B67FEC">
        <w:rPr>
          <w:rFonts w:cs="Calibri"/>
          <w:szCs w:val="20"/>
        </w:rPr>
        <w:t>., fanno parte integrante e sostanziale del presente piano di prevenzione della corruzione:</w:t>
      </w:r>
    </w:p>
    <w:p w:rsidR="004D24CB" w:rsidRPr="00B67FEC" w:rsidRDefault="004D24CB" w:rsidP="00B67FEC">
      <w:pPr>
        <w:numPr>
          <w:ilvl w:val="0"/>
          <w:numId w:val="6"/>
        </w:numPr>
        <w:rPr>
          <w:rFonts w:cs="Calibri"/>
          <w:szCs w:val="20"/>
        </w:rPr>
      </w:pPr>
      <w:r w:rsidRPr="00B67FEC">
        <w:rPr>
          <w:rFonts w:cs="Calibri"/>
          <w:szCs w:val="20"/>
        </w:rPr>
        <w:t>le strategie, le norme e i modelli standard successivamente definiti con il DPCM indicato all’art. 1, comma 4, legge 190 del 2012;</w:t>
      </w:r>
    </w:p>
    <w:p w:rsidR="004D24CB" w:rsidRPr="00B67FEC" w:rsidRDefault="004D24CB" w:rsidP="00B67FEC">
      <w:pPr>
        <w:numPr>
          <w:ilvl w:val="0"/>
          <w:numId w:val="6"/>
        </w:numPr>
        <w:rPr>
          <w:rFonts w:cs="Calibri"/>
          <w:szCs w:val="20"/>
        </w:rPr>
      </w:pPr>
      <w:r w:rsidRPr="00B67FEC">
        <w:rPr>
          <w:rFonts w:cs="Calibri"/>
          <w:szCs w:val="20"/>
        </w:rPr>
        <w:t>le linee guida successivamente contenute nel piano nazionale anticorruzione</w:t>
      </w:r>
      <w:r w:rsidR="00FD024A" w:rsidRPr="00B67FEC">
        <w:rPr>
          <w:rFonts w:cs="Calibri"/>
          <w:szCs w:val="20"/>
        </w:rPr>
        <w:t xml:space="preserve"> 2013 e gli aggiornamenti indicati nella Determinazione ANAC n. 12/2015 (PNA 2015) e nella Determinazione ANAC n. 831/2016 (aggiornamento 2016)</w:t>
      </w:r>
      <w:r w:rsidR="00922B6F">
        <w:rPr>
          <w:rFonts w:cs="Calibri"/>
          <w:szCs w:val="20"/>
        </w:rPr>
        <w:t>.</w:t>
      </w:r>
    </w:p>
    <w:p w:rsidR="004D24CB" w:rsidRPr="00B67FEC" w:rsidRDefault="004D24CB" w:rsidP="0049154B">
      <w:pPr>
        <w:rPr>
          <w:rFonts w:cs="Calibri"/>
          <w:szCs w:val="20"/>
        </w:rPr>
      </w:pPr>
      <w:r w:rsidRPr="00B67FEC">
        <w:rPr>
          <w:rFonts w:cs="Calibri"/>
          <w:szCs w:val="20"/>
        </w:rPr>
        <w:t>L’individuazione delle aree di rischio è il risultato di un processo complesso, che presuppone la valutazione del rischio da realizzarsi attraverso la verifica “sul campo” dell’impatto del fenomeno corruttivo sui singoli processi svolti nel</w:t>
      </w:r>
      <w:r w:rsidR="00F902C5" w:rsidRPr="00B67FEC">
        <w:rPr>
          <w:rFonts w:cs="Calibri"/>
          <w:szCs w:val="20"/>
        </w:rPr>
        <w:t>la Società</w:t>
      </w:r>
      <w:r w:rsidRPr="00B67FEC">
        <w:rPr>
          <w:rFonts w:cs="Calibri"/>
          <w:szCs w:val="20"/>
        </w:rPr>
        <w:t xml:space="preserve">. </w:t>
      </w:r>
    </w:p>
    <w:p w:rsidR="004D24CB" w:rsidRPr="00B67FEC" w:rsidRDefault="004D24CB" w:rsidP="0049154B">
      <w:pPr>
        <w:rPr>
          <w:rFonts w:cs="Calibri"/>
          <w:szCs w:val="20"/>
        </w:rPr>
      </w:pPr>
      <w:r w:rsidRPr="00B67FEC">
        <w:rPr>
          <w:rFonts w:cs="Calibri"/>
          <w:szCs w:val="20"/>
        </w:rPr>
        <w:t xml:space="preserve">Per “rischio” si intende l’effetto dell’incertezza sul corretto perseguimento dell’interesse pubblico e, quindi, sull’obiettivo istituzionale </w:t>
      </w:r>
      <w:r w:rsidR="00520C5E" w:rsidRPr="00B67FEC">
        <w:rPr>
          <w:rFonts w:cs="Calibri"/>
          <w:szCs w:val="20"/>
        </w:rPr>
        <w:t xml:space="preserve">della </w:t>
      </w:r>
      <w:r w:rsidR="00F902C5" w:rsidRPr="00B67FEC">
        <w:rPr>
          <w:rFonts w:cs="Calibri"/>
          <w:szCs w:val="20"/>
        </w:rPr>
        <w:t>Società</w:t>
      </w:r>
      <w:r w:rsidRPr="00B67FEC">
        <w:rPr>
          <w:rFonts w:cs="Calibri"/>
          <w:szCs w:val="20"/>
        </w:rPr>
        <w:t xml:space="preserve">, dovuto alla possibilità </w:t>
      </w:r>
      <w:r w:rsidR="00E76CBE" w:rsidRPr="00B67FEC">
        <w:rPr>
          <w:rFonts w:cs="Calibri"/>
          <w:szCs w:val="20"/>
        </w:rPr>
        <w:t>che si verifichi un dato evento di corruzione.</w:t>
      </w:r>
    </w:p>
    <w:p w:rsidR="004D24CB" w:rsidRPr="00B67FEC" w:rsidRDefault="004D24CB" w:rsidP="0049154B">
      <w:pPr>
        <w:rPr>
          <w:rFonts w:cs="Calibri"/>
          <w:szCs w:val="20"/>
        </w:rPr>
      </w:pPr>
      <w:r w:rsidRPr="00B67FEC">
        <w:rPr>
          <w:rFonts w:cs="Calibri"/>
          <w:szCs w:val="20"/>
        </w:rPr>
        <w:lastRenderedPageBreak/>
        <w:t xml:space="preserve">Per “evento” si intende il verificarsi o il modificarsi di un insieme di circostanze che si frappongono o si oppongono al perseguimento dell’obiettivo istituzionale </w:t>
      </w:r>
      <w:r w:rsidR="00520C5E" w:rsidRPr="00B67FEC">
        <w:rPr>
          <w:rFonts w:cs="Calibri"/>
          <w:szCs w:val="20"/>
        </w:rPr>
        <w:t xml:space="preserve">della </w:t>
      </w:r>
      <w:r w:rsidR="00F902C5" w:rsidRPr="00B67FEC">
        <w:rPr>
          <w:rFonts w:cs="Calibri"/>
          <w:szCs w:val="20"/>
        </w:rPr>
        <w:t>Società</w:t>
      </w:r>
      <w:r w:rsidRPr="00B67FEC">
        <w:rPr>
          <w:rFonts w:cs="Calibri"/>
          <w:szCs w:val="20"/>
        </w:rPr>
        <w:t>.</w:t>
      </w:r>
    </w:p>
    <w:p w:rsidR="004D24CB" w:rsidRPr="00B67FEC" w:rsidRDefault="004D24CB" w:rsidP="0049154B">
      <w:pPr>
        <w:rPr>
          <w:rFonts w:cs="Calibri"/>
          <w:szCs w:val="20"/>
        </w:rPr>
      </w:pPr>
      <w:r w:rsidRPr="00B67FEC">
        <w:rPr>
          <w:rFonts w:cs="Calibri"/>
          <w:szCs w:val="20"/>
        </w:rPr>
        <w:t xml:space="preserve">Per processo è qui inteso un insieme di attività interrelate che creano valore trasformando delle risorse (input del processo) in un prodotto (output del processo) destinato ad un soggetto interno o esterno all'amministrazione (utente). Il processo che si svolge nell’ambito di un’area/settore può esso da solo portare al risultato finale o porsi come parte o fase di un processo complesso, con il concorso di più amministrazioni. Il concetto di processo è più ampio di quello di procedimento amministrativo e ricomprende anche le procedure di natura privatistica. </w:t>
      </w:r>
    </w:p>
    <w:p w:rsidR="000C4AF6" w:rsidRPr="00745316" w:rsidRDefault="000C4AF6" w:rsidP="0049154B">
      <w:pPr>
        <w:rPr>
          <w:rFonts w:cs="Calibri"/>
          <w:bCs/>
          <w:szCs w:val="20"/>
        </w:rPr>
      </w:pPr>
      <w:r w:rsidRPr="00745316">
        <w:rPr>
          <w:rFonts w:cs="Calibri"/>
          <w:bCs/>
          <w:szCs w:val="20"/>
        </w:rPr>
        <w:t>In adesione al PNA 2019:</w:t>
      </w:r>
    </w:p>
    <w:p w:rsidR="000C4AF6" w:rsidRPr="00745316" w:rsidRDefault="000C4AF6" w:rsidP="00B67FEC">
      <w:pPr>
        <w:numPr>
          <w:ilvl w:val="0"/>
          <w:numId w:val="6"/>
        </w:numPr>
        <w:rPr>
          <w:rFonts w:cs="Calibri"/>
          <w:bCs/>
          <w:szCs w:val="20"/>
        </w:rPr>
      </w:pPr>
      <w:r w:rsidRPr="00745316">
        <w:rPr>
          <w:rFonts w:cs="Calibri"/>
          <w:bCs/>
          <w:szCs w:val="20"/>
        </w:rPr>
        <w:t>gli eventi rischiosi sono stati identificati per ciascun processo, fase e/o attività del processo;</w:t>
      </w:r>
    </w:p>
    <w:p w:rsidR="000C4AF6" w:rsidRPr="00745316" w:rsidRDefault="000C4AF6" w:rsidP="00B67FEC">
      <w:pPr>
        <w:numPr>
          <w:ilvl w:val="0"/>
          <w:numId w:val="6"/>
        </w:numPr>
        <w:rPr>
          <w:rFonts w:cs="Calibri"/>
          <w:bCs/>
          <w:szCs w:val="20"/>
        </w:rPr>
      </w:pPr>
      <w:r w:rsidRPr="00745316">
        <w:rPr>
          <w:rFonts w:cs="Calibri"/>
          <w:bCs/>
          <w:szCs w:val="20"/>
        </w:rPr>
        <w:t>sono state individuate le cause del loro verificarsi;</w:t>
      </w:r>
    </w:p>
    <w:p w:rsidR="000C4AF6" w:rsidRPr="00745316" w:rsidRDefault="000C4AF6" w:rsidP="00B67FEC">
      <w:pPr>
        <w:numPr>
          <w:ilvl w:val="0"/>
          <w:numId w:val="6"/>
        </w:numPr>
        <w:rPr>
          <w:rFonts w:cs="Calibri"/>
          <w:bCs/>
          <w:szCs w:val="20"/>
        </w:rPr>
      </w:pPr>
      <w:r w:rsidRPr="00745316">
        <w:rPr>
          <w:rFonts w:cs="Calibri"/>
          <w:bCs/>
          <w:szCs w:val="20"/>
        </w:rPr>
        <w:t>è stata realizzata la valutazione dell'espo</w:t>
      </w:r>
      <w:r w:rsidR="00922B6F" w:rsidRPr="00745316">
        <w:rPr>
          <w:rFonts w:cs="Calibri"/>
          <w:bCs/>
          <w:szCs w:val="20"/>
        </w:rPr>
        <w:t>sizione al rischio dei processi.</w:t>
      </w:r>
    </w:p>
    <w:p w:rsidR="000C4AF6" w:rsidRPr="00745316" w:rsidRDefault="000C4AF6" w:rsidP="0049154B">
      <w:pPr>
        <w:rPr>
          <w:rFonts w:cs="Calibri"/>
          <w:bCs/>
          <w:szCs w:val="20"/>
        </w:rPr>
      </w:pPr>
      <w:r w:rsidRPr="00745316">
        <w:rPr>
          <w:rFonts w:cs="Calibri"/>
          <w:bCs/>
          <w:szCs w:val="20"/>
        </w:rPr>
        <w:t>La metodologia utilizzata per la valutazione dell'esposizione al rischio dei processi è la moltiplicazione degli indici di valutazione della probabilità e dell'impatto</w:t>
      </w:r>
      <w:r w:rsidR="003D6F27" w:rsidRPr="00745316">
        <w:rPr>
          <w:rFonts w:cs="Calibri"/>
          <w:bCs/>
          <w:szCs w:val="20"/>
        </w:rPr>
        <w:t>, rispetto ai fattori abilitanti definiti da ANAC</w:t>
      </w:r>
      <w:r w:rsidRPr="00745316">
        <w:rPr>
          <w:rFonts w:cs="Calibri"/>
          <w:bCs/>
          <w:szCs w:val="20"/>
        </w:rPr>
        <w:t>.</w:t>
      </w:r>
    </w:p>
    <w:p w:rsidR="00CA0CCB" w:rsidRPr="00D7355D" w:rsidRDefault="00CA0CCB" w:rsidP="00CA0CCB">
      <w:pPr>
        <w:pStyle w:val="Titolo3"/>
      </w:pPr>
      <w:bookmarkStart w:id="145" w:name="_Toc59637276"/>
      <w:bookmarkStart w:id="146" w:name="_Toc63310823"/>
      <w:bookmarkStart w:id="147" w:name="_Toc66445657"/>
      <w:bookmarkStart w:id="148" w:name="_Toc101602031"/>
      <w:r w:rsidRPr="00D7355D">
        <w:t>Individuazione dei fattori abilitanti</w:t>
      </w:r>
      <w:bookmarkEnd w:id="145"/>
      <w:bookmarkEnd w:id="146"/>
      <w:bookmarkEnd w:id="147"/>
      <w:bookmarkEnd w:id="148"/>
    </w:p>
    <w:p w:rsidR="00CA0CCB" w:rsidRPr="00AA402D" w:rsidRDefault="00CA0CCB" w:rsidP="00313E49">
      <w:pPr>
        <w:rPr>
          <w:rFonts w:cs="Tahoma"/>
          <w:szCs w:val="20"/>
        </w:rPr>
      </w:pPr>
      <w:r w:rsidRPr="00AA402D">
        <w:rPr>
          <w:rFonts w:cs="Tahoma"/>
          <w:szCs w:val="20"/>
        </w:rPr>
        <w:t>H.1.2 Per gli eventi rischiosi identificati, sono stati individuati ed è stata valutata l’incidenza dei c.d. “fattori abilitanti”</w:t>
      </w:r>
    </w:p>
    <w:p w:rsidR="00CA0CCB" w:rsidRPr="00AA402D" w:rsidRDefault="00CA0CCB" w:rsidP="00313E49">
      <w:pPr>
        <w:rPr>
          <w:rFonts w:cs="Tahoma"/>
          <w:szCs w:val="20"/>
        </w:rPr>
      </w:pPr>
      <w:r w:rsidRPr="00AA402D">
        <w:rPr>
          <w:rFonts w:cs="Tahoma"/>
          <w:szCs w:val="20"/>
        </w:rPr>
        <w:t>L’analisi risulta essenziale al fine di comprendere i fattori abilitanti degli eventi corruttivi, ossia i fattori di contesto che agevolano il verificarsi di comportamenti o fatti di corruzione. L’analisi di questi fattori consente di individuare le misure specifiche di trattamento più efficaci, ossia le azioni di risposta più appropriate e indicate per prevenire i rischi. I fattori abilitanti possono essere, per ogni rischio, molteplici e combinarsi tra loro.</w:t>
      </w:r>
    </w:p>
    <w:p w:rsidR="00CA0CCB" w:rsidRPr="00AA402D" w:rsidRDefault="00CA0CCB" w:rsidP="00313E49">
      <w:pPr>
        <w:rPr>
          <w:rFonts w:cs="Tahoma"/>
          <w:szCs w:val="20"/>
        </w:rPr>
      </w:pPr>
      <w:r w:rsidRPr="00AA402D">
        <w:rPr>
          <w:rFonts w:cs="Tahoma"/>
          <w:szCs w:val="20"/>
        </w:rPr>
        <w:t>a) mancanza di misure di trattamento del rischio (controlli): in fase di analisi andrà verificato se presso l’amministrazione siano già stati predisposti – ma soprattutto efficacemente attuati – strumenti di controllo relativi agli eventi rischiosi;</w:t>
      </w:r>
    </w:p>
    <w:p w:rsidR="00CA0CCB" w:rsidRPr="00AA402D" w:rsidRDefault="00CA0CCB" w:rsidP="00313E49">
      <w:pPr>
        <w:rPr>
          <w:rFonts w:cs="Tahoma"/>
          <w:szCs w:val="20"/>
        </w:rPr>
      </w:pPr>
      <w:r w:rsidRPr="00AA402D">
        <w:rPr>
          <w:rFonts w:cs="Tahoma"/>
          <w:szCs w:val="20"/>
        </w:rPr>
        <w:t>b) mancanza di trasparenza;</w:t>
      </w:r>
    </w:p>
    <w:p w:rsidR="00CA0CCB" w:rsidRPr="00AA402D" w:rsidRDefault="00CA0CCB" w:rsidP="00313E49">
      <w:pPr>
        <w:rPr>
          <w:rFonts w:cs="Tahoma"/>
          <w:szCs w:val="20"/>
        </w:rPr>
      </w:pPr>
      <w:r w:rsidRPr="00AA402D">
        <w:rPr>
          <w:rFonts w:cs="Tahoma"/>
          <w:szCs w:val="20"/>
        </w:rPr>
        <w:t>c) eccessiva regolamentazione, complessità e scarsa chiarezza della normativa di riferimento;</w:t>
      </w:r>
    </w:p>
    <w:p w:rsidR="00CA0CCB" w:rsidRPr="00AA402D" w:rsidRDefault="00CA0CCB" w:rsidP="00313E49">
      <w:pPr>
        <w:rPr>
          <w:rFonts w:cs="Tahoma"/>
          <w:szCs w:val="20"/>
        </w:rPr>
      </w:pPr>
      <w:r w:rsidRPr="00AA402D">
        <w:rPr>
          <w:rFonts w:cs="Tahoma"/>
          <w:szCs w:val="20"/>
        </w:rPr>
        <w:t>d) esercizio prolungato ed esclusivo della responsabilità di un processo da parte di pochi o di un unico soggetto;</w:t>
      </w:r>
    </w:p>
    <w:p w:rsidR="00CA0CCB" w:rsidRPr="00AA402D" w:rsidRDefault="00CA0CCB" w:rsidP="00313E49">
      <w:pPr>
        <w:rPr>
          <w:rFonts w:cs="Tahoma"/>
          <w:szCs w:val="20"/>
        </w:rPr>
      </w:pPr>
      <w:r w:rsidRPr="00AA402D">
        <w:rPr>
          <w:rFonts w:cs="Tahoma"/>
          <w:szCs w:val="20"/>
        </w:rPr>
        <w:t>e) scarsa responsabilizzazione interna;</w:t>
      </w:r>
    </w:p>
    <w:p w:rsidR="00CA0CCB" w:rsidRPr="00AA402D" w:rsidRDefault="00CA0CCB" w:rsidP="00313E49">
      <w:pPr>
        <w:rPr>
          <w:rFonts w:cs="Tahoma"/>
          <w:szCs w:val="20"/>
        </w:rPr>
      </w:pPr>
      <w:r w:rsidRPr="00AA402D">
        <w:rPr>
          <w:rFonts w:cs="Tahoma"/>
          <w:szCs w:val="20"/>
        </w:rPr>
        <w:t>f) inadeguatezza o assenza di competenze del personale addetto ai processi;</w:t>
      </w:r>
    </w:p>
    <w:p w:rsidR="00CA0CCB" w:rsidRPr="00AA402D" w:rsidRDefault="00CA0CCB" w:rsidP="00313E49">
      <w:pPr>
        <w:rPr>
          <w:rFonts w:cs="Tahoma"/>
          <w:szCs w:val="20"/>
        </w:rPr>
      </w:pPr>
      <w:r w:rsidRPr="00AA402D">
        <w:rPr>
          <w:rFonts w:cs="Tahoma"/>
          <w:szCs w:val="20"/>
        </w:rPr>
        <w:t>g) inadeguata diffusione della cultura della legalità;</w:t>
      </w:r>
    </w:p>
    <w:p w:rsidR="00CA0CCB" w:rsidRPr="00AA402D" w:rsidRDefault="00CA0CCB" w:rsidP="00313E49">
      <w:pPr>
        <w:rPr>
          <w:rFonts w:cs="Tahoma"/>
          <w:szCs w:val="20"/>
        </w:rPr>
      </w:pPr>
      <w:r w:rsidRPr="00AA402D">
        <w:rPr>
          <w:rFonts w:cs="Tahoma"/>
          <w:szCs w:val="20"/>
        </w:rPr>
        <w:t>h) mancata attuazione del principio di distinzione tra politica e amministrazione.</w:t>
      </w:r>
    </w:p>
    <w:p w:rsidR="00CA0CCB" w:rsidRPr="00D7355D" w:rsidRDefault="00CA0CCB" w:rsidP="00313E49">
      <w:pPr>
        <w:rPr>
          <w:rFonts w:cs="Tahoma"/>
          <w:b/>
          <w:szCs w:val="20"/>
        </w:rPr>
      </w:pPr>
      <w:r w:rsidRPr="00AA402D">
        <w:rPr>
          <w:rFonts w:cs="Tahoma"/>
          <w:szCs w:val="20"/>
        </w:rPr>
        <w:t>Anche in questo passaggio il coinvolgimento della struttura organizzativa è indispensabile. Il RPC supporta i responsabili degli uffici nell’individuazione di tali fattori, facilitando l’analisi ed integrando lo stesso in caso di valutazioni non complete.</w:t>
      </w:r>
    </w:p>
    <w:p w:rsidR="000C4AF6" w:rsidRPr="00B67FEC" w:rsidRDefault="000C4AF6" w:rsidP="00313E49">
      <w:pPr>
        <w:rPr>
          <w:rFonts w:cs="Calibri"/>
          <w:b/>
          <w:szCs w:val="20"/>
        </w:rPr>
      </w:pPr>
    </w:p>
    <w:p w:rsidR="000C4AF6" w:rsidRPr="00745316" w:rsidRDefault="000C4AF6" w:rsidP="00313E49">
      <w:pPr>
        <w:rPr>
          <w:rFonts w:cs="Calibri"/>
          <w:bCs/>
          <w:szCs w:val="20"/>
        </w:rPr>
      </w:pPr>
      <w:r w:rsidRPr="00745316">
        <w:rPr>
          <w:rFonts w:cs="Calibri"/>
          <w:bCs/>
          <w:szCs w:val="20"/>
        </w:rPr>
        <w:t xml:space="preserve">L’analisi ha fornito come esito la mappatura dei rischi e trattamenti di cui all’allegato </w:t>
      </w:r>
      <w:r w:rsidRPr="00745316">
        <w:rPr>
          <w:rFonts w:cs="Calibri"/>
          <w:bCs/>
          <w:noProof/>
          <w:szCs w:val="20"/>
        </w:rPr>
        <w:t>“</w:t>
      </w:r>
      <w:r w:rsidR="00B61F65">
        <w:rPr>
          <w:rFonts w:cs="Calibri"/>
          <w:bCs/>
          <w:noProof/>
          <w:szCs w:val="20"/>
        </w:rPr>
        <w:t>Piano dei Rischi 2022</w:t>
      </w:r>
      <w:r w:rsidRPr="00745316">
        <w:rPr>
          <w:rFonts w:cs="Calibri"/>
          <w:bCs/>
          <w:noProof/>
          <w:szCs w:val="20"/>
        </w:rPr>
        <w:t>”</w:t>
      </w:r>
      <w:r w:rsidRPr="00745316">
        <w:rPr>
          <w:rFonts w:cs="Calibri"/>
          <w:bCs/>
          <w:szCs w:val="20"/>
        </w:rPr>
        <w:t>.</w:t>
      </w:r>
    </w:p>
    <w:p w:rsidR="000C4AF6" w:rsidRPr="00B67FEC" w:rsidRDefault="000C4AF6" w:rsidP="0049154B">
      <w:pPr>
        <w:rPr>
          <w:rFonts w:cs="Calibri"/>
          <w:b/>
          <w:szCs w:val="20"/>
        </w:rPr>
      </w:pPr>
    </w:p>
    <w:p w:rsidR="000C4AF6" w:rsidRPr="00E606E6" w:rsidRDefault="00C728EC" w:rsidP="00E606E6">
      <w:pPr>
        <w:pStyle w:val="Titolo3"/>
      </w:pPr>
      <w:bookmarkStart w:id="149" w:name="_Toc28966897"/>
      <w:bookmarkStart w:id="150" w:name="_Toc28967117"/>
      <w:bookmarkStart w:id="151" w:name="_Toc28967370"/>
      <w:bookmarkStart w:id="152" w:name="_Toc101602032"/>
      <w:r w:rsidRPr="00E606E6">
        <w:t>Valutazione del rischio</w:t>
      </w:r>
      <w:bookmarkEnd w:id="149"/>
      <w:bookmarkEnd w:id="150"/>
      <w:bookmarkEnd w:id="151"/>
      <w:bookmarkEnd w:id="152"/>
    </w:p>
    <w:p w:rsidR="009D514F" w:rsidRPr="00B67FEC" w:rsidRDefault="000C4AF6" w:rsidP="0049154B">
      <w:pPr>
        <w:rPr>
          <w:rFonts w:cs="Calibri"/>
          <w:szCs w:val="20"/>
        </w:rPr>
      </w:pPr>
      <w:r w:rsidRPr="00B67FEC">
        <w:rPr>
          <w:rFonts w:cs="Calibri"/>
          <w:szCs w:val="20"/>
        </w:rPr>
        <w:t>Per ogni processo è stata elaborata, tenendo conto della metodologia proposta all’interno del Piano Nazionale Anticorruzione 2019, la relativa valutazione del rischio, con l</w:t>
      </w:r>
      <w:r w:rsidR="009D514F" w:rsidRPr="00B67FEC">
        <w:rPr>
          <w:rFonts w:cs="Calibri"/>
          <w:szCs w:val="20"/>
        </w:rPr>
        <w:t>e</w:t>
      </w:r>
      <w:r w:rsidRPr="00B67FEC">
        <w:rPr>
          <w:rFonts w:cs="Calibri"/>
          <w:szCs w:val="20"/>
        </w:rPr>
        <w:t xml:space="preserve"> segu</w:t>
      </w:r>
      <w:r w:rsidR="009D514F" w:rsidRPr="00B67FEC">
        <w:rPr>
          <w:rFonts w:cs="Calibri"/>
          <w:szCs w:val="20"/>
        </w:rPr>
        <w:t>enti caratteristiche:</w:t>
      </w:r>
    </w:p>
    <w:p w:rsidR="009D514F" w:rsidRPr="00745316" w:rsidRDefault="009D514F" w:rsidP="00B67FEC">
      <w:pPr>
        <w:numPr>
          <w:ilvl w:val="0"/>
          <w:numId w:val="13"/>
        </w:numPr>
        <w:rPr>
          <w:rFonts w:cs="Calibri"/>
          <w:bCs/>
          <w:szCs w:val="20"/>
        </w:rPr>
      </w:pPr>
      <w:r w:rsidRPr="00745316">
        <w:rPr>
          <w:rFonts w:cs="Calibri"/>
          <w:bCs/>
          <w:szCs w:val="20"/>
        </w:rPr>
        <w:lastRenderedPageBreak/>
        <w:t>Analisi di tipo qualitativo, con motivate valutazioni e specifici criteri.</w:t>
      </w:r>
    </w:p>
    <w:p w:rsidR="009D514F" w:rsidRPr="00745316" w:rsidRDefault="009D514F" w:rsidP="00B67FEC">
      <w:pPr>
        <w:numPr>
          <w:ilvl w:val="0"/>
          <w:numId w:val="13"/>
        </w:numPr>
        <w:rPr>
          <w:rFonts w:cs="Calibri"/>
          <w:bCs/>
          <w:szCs w:val="20"/>
        </w:rPr>
      </w:pPr>
      <w:r w:rsidRPr="00745316">
        <w:rPr>
          <w:rFonts w:cs="Calibri"/>
          <w:bCs/>
          <w:szCs w:val="20"/>
        </w:rPr>
        <w:t>Definizione degli Indicatori di Rischio: misuratori del livello di esposizione del processo al rischio di corruzione.</w:t>
      </w:r>
    </w:p>
    <w:p w:rsidR="000C4AF6" w:rsidRPr="00745316" w:rsidRDefault="009D514F" w:rsidP="00B67FEC">
      <w:pPr>
        <w:numPr>
          <w:ilvl w:val="0"/>
          <w:numId w:val="13"/>
        </w:numPr>
        <w:rPr>
          <w:rFonts w:cs="Calibri"/>
          <w:bCs/>
          <w:szCs w:val="20"/>
        </w:rPr>
      </w:pPr>
      <w:r w:rsidRPr="00745316">
        <w:rPr>
          <w:rFonts w:cs="Calibri"/>
          <w:bCs/>
          <w:szCs w:val="20"/>
        </w:rPr>
        <w:t>Scala di misurazione: Alto, Medio, Basso.</w:t>
      </w:r>
    </w:p>
    <w:p w:rsidR="00B264D6" w:rsidRPr="00B67FEC" w:rsidRDefault="00B264D6" w:rsidP="0049154B">
      <w:pPr>
        <w:rPr>
          <w:rFonts w:cs="Calibri"/>
          <w:b/>
          <w:szCs w:val="20"/>
        </w:rPr>
      </w:pPr>
    </w:p>
    <w:p w:rsidR="000C4AF6" w:rsidRPr="00E606E6" w:rsidRDefault="00C728EC" w:rsidP="00E606E6">
      <w:pPr>
        <w:pStyle w:val="Titolo3"/>
      </w:pPr>
      <w:bookmarkStart w:id="153" w:name="_Toc28966898"/>
      <w:bookmarkStart w:id="154" w:name="_Toc28967118"/>
      <w:bookmarkStart w:id="155" w:name="_Toc28967371"/>
      <w:bookmarkStart w:id="156" w:name="_Toc101602033"/>
      <w:r w:rsidRPr="00E606E6">
        <w:t>Gestione del rischio</w:t>
      </w:r>
      <w:bookmarkEnd w:id="153"/>
      <w:bookmarkEnd w:id="154"/>
      <w:bookmarkEnd w:id="155"/>
      <w:bookmarkEnd w:id="156"/>
    </w:p>
    <w:p w:rsidR="000C4AF6" w:rsidRPr="00B67FEC" w:rsidRDefault="000C4AF6" w:rsidP="0049154B">
      <w:pPr>
        <w:rPr>
          <w:rFonts w:cs="Calibri"/>
          <w:szCs w:val="20"/>
        </w:rPr>
      </w:pPr>
      <w:r w:rsidRPr="00B67FEC">
        <w:rPr>
          <w:rFonts w:cs="Calibri"/>
          <w:szCs w:val="20"/>
        </w:rPr>
        <w:t>La fase di trattamento del rischio consiste nell’individuazione e valutazione delle misure che debbono essere predisposte per neutralizzare o ridurre il rischio e nella decisione di quali rischi si decide di trattare prioritariamente rispetto agli altri.</w:t>
      </w:r>
    </w:p>
    <w:p w:rsidR="000C4AF6" w:rsidRPr="00B67FEC" w:rsidRDefault="000C4AF6" w:rsidP="0049154B">
      <w:pPr>
        <w:rPr>
          <w:rFonts w:cs="Calibri"/>
          <w:szCs w:val="20"/>
        </w:rPr>
      </w:pPr>
      <w:r w:rsidRPr="00B67FEC">
        <w:rPr>
          <w:rFonts w:cs="Calibri"/>
          <w:szCs w:val="20"/>
        </w:rPr>
        <w:t xml:space="preserve">Al fine di neutralizzare o ridurre il livello di rischio, debbono essere individuate e valutate le misure di prevenzione. Queste, come detto, possono essere obbligatorie e previste dalla norma o ulteriori se previste nel Piano. </w:t>
      </w:r>
    </w:p>
    <w:p w:rsidR="000C4AF6" w:rsidRPr="00B67FEC" w:rsidRDefault="000C4AF6" w:rsidP="0049154B">
      <w:pPr>
        <w:rPr>
          <w:rFonts w:cs="Calibri"/>
          <w:szCs w:val="20"/>
        </w:rPr>
      </w:pPr>
      <w:r w:rsidRPr="00B67FEC">
        <w:rPr>
          <w:rFonts w:cs="Calibri"/>
          <w:szCs w:val="20"/>
        </w:rPr>
        <w:t>Le misure ulteriori debbono essere valutate in base ai costi stimati, all’impatto sull’organizzazione e al grado di efficacia che si attribuisce a ciascuna di esse.</w:t>
      </w:r>
    </w:p>
    <w:p w:rsidR="000C4AF6" w:rsidRPr="00B67FEC" w:rsidRDefault="000C4AF6" w:rsidP="0049154B">
      <w:pPr>
        <w:rPr>
          <w:rFonts w:cs="Calibri"/>
          <w:szCs w:val="20"/>
        </w:rPr>
      </w:pPr>
      <w:r w:rsidRPr="00B67FEC">
        <w:rPr>
          <w:rFonts w:cs="Calibri"/>
          <w:szCs w:val="20"/>
        </w:rPr>
        <w:t xml:space="preserve">L’individuazione e la valutazione delle misure è compiuta dal Responsabile per la prevenzione con il coinvolgimento dei dipendenti </w:t>
      </w:r>
      <w:r w:rsidR="00520C5E" w:rsidRPr="00B67FEC">
        <w:rPr>
          <w:rFonts w:cs="Calibri"/>
          <w:szCs w:val="20"/>
        </w:rPr>
        <w:t xml:space="preserve">della </w:t>
      </w:r>
      <w:r w:rsidR="00F902C5" w:rsidRPr="00B67FEC">
        <w:rPr>
          <w:rFonts w:cs="Calibri"/>
          <w:szCs w:val="20"/>
        </w:rPr>
        <w:t>Società</w:t>
      </w:r>
      <w:r w:rsidRPr="00B67FEC">
        <w:rPr>
          <w:rFonts w:cs="Calibri"/>
          <w:szCs w:val="20"/>
        </w:rPr>
        <w:t xml:space="preserve"> identificando annualmente le aree “sensibili” di intervento su cui intervenire. </w:t>
      </w:r>
    </w:p>
    <w:p w:rsidR="000C4AF6" w:rsidRPr="00B67FEC" w:rsidRDefault="000C4AF6" w:rsidP="0049154B">
      <w:pPr>
        <w:rPr>
          <w:rFonts w:cs="Calibri"/>
          <w:szCs w:val="20"/>
        </w:rPr>
      </w:pPr>
      <w:r w:rsidRPr="00B67FEC">
        <w:rPr>
          <w:rFonts w:cs="Calibri"/>
          <w:szCs w:val="20"/>
        </w:rPr>
        <w:t>Le decisioni circa la priorità del trattamento si basano essenzialmente sui seguenti fattori:</w:t>
      </w:r>
    </w:p>
    <w:p w:rsidR="000C4AF6" w:rsidRPr="00B67FEC" w:rsidRDefault="000C4AF6" w:rsidP="00B67FEC">
      <w:pPr>
        <w:numPr>
          <w:ilvl w:val="0"/>
          <w:numId w:val="6"/>
        </w:numPr>
        <w:rPr>
          <w:rFonts w:cs="Calibri"/>
          <w:szCs w:val="20"/>
        </w:rPr>
      </w:pPr>
      <w:r w:rsidRPr="00B67FEC">
        <w:rPr>
          <w:rFonts w:cs="Calibri"/>
          <w:szCs w:val="20"/>
        </w:rPr>
        <w:t>livello di rischio: maggiore è il livello, maggiore è la priorità di trattamento;</w:t>
      </w:r>
    </w:p>
    <w:p w:rsidR="000C4AF6" w:rsidRPr="00B67FEC" w:rsidRDefault="000C4AF6" w:rsidP="00B67FEC">
      <w:pPr>
        <w:numPr>
          <w:ilvl w:val="0"/>
          <w:numId w:val="6"/>
        </w:numPr>
        <w:rPr>
          <w:rFonts w:cs="Calibri"/>
          <w:szCs w:val="20"/>
        </w:rPr>
      </w:pPr>
      <w:r w:rsidRPr="00B67FEC">
        <w:rPr>
          <w:rFonts w:cs="Calibri"/>
          <w:szCs w:val="20"/>
        </w:rPr>
        <w:t>obbligatorietà della misura;</w:t>
      </w:r>
    </w:p>
    <w:p w:rsidR="000C4AF6" w:rsidRPr="00B67FEC" w:rsidRDefault="000C4AF6" w:rsidP="00B67FEC">
      <w:pPr>
        <w:numPr>
          <w:ilvl w:val="0"/>
          <w:numId w:val="6"/>
        </w:numPr>
        <w:rPr>
          <w:rFonts w:cs="Calibri"/>
          <w:szCs w:val="20"/>
        </w:rPr>
      </w:pPr>
      <w:r w:rsidRPr="00B67FEC">
        <w:rPr>
          <w:rFonts w:cs="Calibri"/>
          <w:szCs w:val="20"/>
        </w:rPr>
        <w:t>impatto organizzativo e finanziario connesso all’implementazione della misura.</w:t>
      </w:r>
    </w:p>
    <w:p w:rsidR="000C4AF6" w:rsidRPr="00B67FEC" w:rsidRDefault="000C4AF6" w:rsidP="0049154B">
      <w:pPr>
        <w:rPr>
          <w:rFonts w:cs="Calibri"/>
          <w:szCs w:val="20"/>
        </w:rPr>
      </w:pPr>
      <w:r w:rsidRPr="00B67FEC">
        <w:rPr>
          <w:rFonts w:cs="Calibri"/>
          <w:szCs w:val="20"/>
        </w:rPr>
        <w:t xml:space="preserve">Si considera di predisporre adeguati interventi con priorità massima con riferimento ai processi/procedimenti aventi livello di rischio </w:t>
      </w:r>
      <w:r w:rsidR="009D514F" w:rsidRPr="00B67FEC">
        <w:rPr>
          <w:rFonts w:cs="Calibri"/>
          <w:szCs w:val="20"/>
        </w:rPr>
        <w:t>“alto”</w:t>
      </w:r>
      <w:r w:rsidRPr="00B67FEC">
        <w:rPr>
          <w:rFonts w:cs="Calibri"/>
          <w:szCs w:val="20"/>
        </w:rPr>
        <w:t>.</w:t>
      </w:r>
    </w:p>
    <w:p w:rsidR="00DF515E" w:rsidRPr="00B67FEC" w:rsidRDefault="00DF515E" w:rsidP="0049154B">
      <w:pPr>
        <w:rPr>
          <w:rFonts w:cs="Calibri"/>
          <w:b/>
          <w:szCs w:val="20"/>
        </w:rPr>
      </w:pPr>
    </w:p>
    <w:p w:rsidR="000C4AF6" w:rsidRPr="00745316" w:rsidRDefault="000C4AF6" w:rsidP="0049154B">
      <w:pPr>
        <w:rPr>
          <w:rFonts w:cs="Calibri"/>
          <w:bCs/>
          <w:noProof/>
          <w:szCs w:val="20"/>
        </w:rPr>
      </w:pPr>
      <w:r w:rsidRPr="00745316">
        <w:rPr>
          <w:rFonts w:cs="Calibri"/>
          <w:bCs/>
          <w:szCs w:val="20"/>
        </w:rPr>
        <w:t xml:space="preserve">Le misure di contrasto intraprese o da intraprendere </w:t>
      </w:r>
      <w:r w:rsidR="00401DD4" w:rsidRPr="00745316">
        <w:rPr>
          <w:rFonts w:cs="Calibri"/>
          <w:bCs/>
          <w:szCs w:val="20"/>
        </w:rPr>
        <w:t xml:space="preserve">da </w:t>
      </w:r>
      <w:r w:rsidR="00EC0950" w:rsidRPr="00745316">
        <w:rPr>
          <w:rFonts w:cs="Calibri"/>
          <w:bCs/>
          <w:szCs w:val="20"/>
        </w:rPr>
        <w:t>Segrate Servizi Srl</w:t>
      </w:r>
      <w:r w:rsidRPr="00745316">
        <w:rPr>
          <w:rFonts w:cs="Calibri"/>
          <w:bCs/>
          <w:szCs w:val="20"/>
        </w:rPr>
        <w:t xml:space="preserve"> sono riepilogate </w:t>
      </w:r>
      <w:r w:rsidR="009D514F" w:rsidRPr="00745316">
        <w:rPr>
          <w:rFonts w:cs="Calibri"/>
          <w:bCs/>
          <w:szCs w:val="20"/>
        </w:rPr>
        <w:t>n</w:t>
      </w:r>
      <w:r w:rsidR="009D514F" w:rsidRPr="00745316">
        <w:rPr>
          <w:rFonts w:cs="Calibri"/>
          <w:bCs/>
          <w:noProof/>
          <w:szCs w:val="20"/>
        </w:rPr>
        <w:t>ell’allegato “</w:t>
      </w:r>
      <w:r w:rsidR="00B61F65">
        <w:rPr>
          <w:rFonts w:cs="Calibri"/>
          <w:bCs/>
          <w:noProof/>
          <w:szCs w:val="20"/>
        </w:rPr>
        <w:t>Piano dei Rischi 2022</w:t>
      </w:r>
      <w:r w:rsidR="009D514F" w:rsidRPr="00745316">
        <w:rPr>
          <w:rFonts w:cs="Calibri"/>
          <w:bCs/>
          <w:noProof/>
          <w:szCs w:val="20"/>
        </w:rPr>
        <w:t>”</w:t>
      </w:r>
    </w:p>
    <w:p w:rsidR="00B264D6" w:rsidRPr="00B67FEC" w:rsidRDefault="00B264D6" w:rsidP="0049154B">
      <w:pPr>
        <w:rPr>
          <w:rFonts w:cs="Calibri"/>
          <w:szCs w:val="20"/>
        </w:rPr>
      </w:pPr>
    </w:p>
    <w:p w:rsidR="000C4AF6" w:rsidRPr="00E606E6" w:rsidRDefault="009D514F" w:rsidP="00E606E6">
      <w:pPr>
        <w:pStyle w:val="Titolo3"/>
      </w:pPr>
      <w:bookmarkStart w:id="157" w:name="_Toc28966899"/>
      <w:bookmarkStart w:id="158" w:name="_Toc28967119"/>
      <w:bookmarkStart w:id="159" w:name="_Toc28967372"/>
      <w:bookmarkStart w:id="160" w:name="_Toc101602034"/>
      <w:r w:rsidRPr="00E606E6">
        <w:t>M</w:t>
      </w:r>
      <w:r w:rsidR="00C728EC" w:rsidRPr="00E606E6">
        <w:t>onitoraggio successivo della gestione del rischio nei processi</w:t>
      </w:r>
      <w:bookmarkEnd w:id="157"/>
      <w:bookmarkEnd w:id="158"/>
      <w:bookmarkEnd w:id="159"/>
      <w:bookmarkEnd w:id="160"/>
    </w:p>
    <w:p w:rsidR="000C4AF6" w:rsidRPr="00B67FEC" w:rsidRDefault="000C4AF6" w:rsidP="0049154B">
      <w:pPr>
        <w:rPr>
          <w:rFonts w:cs="Calibri"/>
          <w:szCs w:val="20"/>
        </w:rPr>
      </w:pPr>
      <w:r w:rsidRPr="00B67FEC">
        <w:rPr>
          <w:rFonts w:cs="Calibri"/>
          <w:szCs w:val="20"/>
        </w:rPr>
        <w:t xml:space="preserve">La gestione del rischio si completa con la successiva azione di monitoraggio, che comporta la valutazione del livello di rischio tenendo conto </w:t>
      </w:r>
      <w:r w:rsidR="00745316" w:rsidRPr="00B67FEC">
        <w:rPr>
          <w:rFonts w:cs="Calibri"/>
          <w:szCs w:val="20"/>
        </w:rPr>
        <w:t>delle misure</w:t>
      </w:r>
      <w:r w:rsidRPr="00B67FEC">
        <w:rPr>
          <w:rFonts w:cs="Calibri"/>
          <w:szCs w:val="20"/>
        </w:rPr>
        <w:t xml:space="preserve"> di prevenzione introdotte e delle azioni attuate. </w:t>
      </w:r>
    </w:p>
    <w:p w:rsidR="000C4AF6" w:rsidRPr="00B67FEC" w:rsidRDefault="000C4AF6" w:rsidP="0049154B">
      <w:pPr>
        <w:rPr>
          <w:rFonts w:cs="Calibri"/>
          <w:szCs w:val="20"/>
        </w:rPr>
      </w:pPr>
      <w:r w:rsidRPr="00B67FEC">
        <w:rPr>
          <w:rFonts w:cs="Calibri"/>
          <w:szCs w:val="20"/>
        </w:rPr>
        <w:t xml:space="preserve">Questa fase è finalizzata alla verifica dell’efficacia dei sistemi di prevenzione adottati e, quindi, alla successiva messa in atto di ulteriori strategie di prevenzione. </w:t>
      </w:r>
    </w:p>
    <w:p w:rsidR="000C4AF6" w:rsidRPr="00B67FEC" w:rsidRDefault="000C4AF6" w:rsidP="0049154B">
      <w:pPr>
        <w:rPr>
          <w:rFonts w:cs="Calibri"/>
          <w:szCs w:val="20"/>
        </w:rPr>
      </w:pPr>
      <w:r w:rsidRPr="00B67FEC">
        <w:rPr>
          <w:rFonts w:cs="Calibri"/>
          <w:szCs w:val="20"/>
        </w:rPr>
        <w:t xml:space="preserve">Essa sarà attuata dai medesimi soggetti che partecipano all’interno processo di gestione del rischio in stretta connessione con il sistema di programmazione e controllo di gestione. </w:t>
      </w:r>
    </w:p>
    <w:p w:rsidR="00DF515E" w:rsidRPr="00B67FEC" w:rsidRDefault="00DF515E" w:rsidP="00DF515E">
      <w:pPr>
        <w:rPr>
          <w:rFonts w:cs="Calibri"/>
          <w:b/>
          <w:szCs w:val="20"/>
        </w:rPr>
      </w:pPr>
    </w:p>
    <w:p w:rsidR="00DF515E" w:rsidRPr="00745316" w:rsidRDefault="00DF515E" w:rsidP="00DF515E">
      <w:pPr>
        <w:rPr>
          <w:rFonts w:cs="Calibri"/>
          <w:bCs/>
          <w:noProof/>
          <w:szCs w:val="20"/>
        </w:rPr>
      </w:pPr>
      <w:r w:rsidRPr="00745316">
        <w:rPr>
          <w:rFonts w:cs="Calibri"/>
          <w:bCs/>
          <w:szCs w:val="20"/>
        </w:rPr>
        <w:t xml:space="preserve">Il monitoraggio delle misure di contrasto intraprese </w:t>
      </w:r>
      <w:r w:rsidR="00401DD4" w:rsidRPr="00745316">
        <w:rPr>
          <w:rFonts w:cs="Calibri"/>
          <w:bCs/>
          <w:szCs w:val="20"/>
        </w:rPr>
        <w:t xml:space="preserve">da </w:t>
      </w:r>
      <w:r w:rsidR="00EC0950" w:rsidRPr="00745316">
        <w:rPr>
          <w:rFonts w:cs="Calibri"/>
          <w:bCs/>
          <w:szCs w:val="20"/>
        </w:rPr>
        <w:t>Segrate Servizi Srl</w:t>
      </w:r>
      <w:r w:rsidRPr="00745316">
        <w:rPr>
          <w:rFonts w:cs="Calibri"/>
          <w:bCs/>
          <w:szCs w:val="20"/>
        </w:rPr>
        <w:t xml:space="preserve"> è riepilogato n</w:t>
      </w:r>
      <w:r w:rsidRPr="00745316">
        <w:rPr>
          <w:rFonts w:cs="Calibri"/>
          <w:bCs/>
          <w:noProof/>
          <w:szCs w:val="20"/>
        </w:rPr>
        <w:t>ell’allegato “</w:t>
      </w:r>
      <w:r w:rsidR="00B61F65">
        <w:rPr>
          <w:rFonts w:cs="Calibri"/>
          <w:bCs/>
          <w:noProof/>
          <w:szCs w:val="20"/>
        </w:rPr>
        <w:t>Piano dei Rischi 2022</w:t>
      </w:r>
      <w:r w:rsidRPr="00745316">
        <w:rPr>
          <w:rFonts w:cs="Calibri"/>
          <w:bCs/>
          <w:noProof/>
          <w:szCs w:val="20"/>
        </w:rPr>
        <w:t>” per quanto attiene le misure “specifiche” mentre è direttamente inserito nel presente PTPCeT per quanto attiene le misure “generali”, come di seguito riportate.</w:t>
      </w:r>
    </w:p>
    <w:p w:rsidR="000C4AF6" w:rsidRPr="00B67FEC" w:rsidRDefault="000C4AF6" w:rsidP="0049154B">
      <w:pPr>
        <w:rPr>
          <w:rFonts w:cs="Calibri"/>
          <w:szCs w:val="20"/>
        </w:rPr>
      </w:pPr>
    </w:p>
    <w:p w:rsidR="000C4AF6" w:rsidRPr="008F710D" w:rsidRDefault="000C4AF6" w:rsidP="00391BAE">
      <w:pPr>
        <w:pStyle w:val="Titolo1"/>
        <w:rPr>
          <w:sz w:val="20"/>
          <w:szCs w:val="20"/>
        </w:rPr>
      </w:pPr>
      <w:bookmarkStart w:id="161" w:name="_Toc28966900"/>
      <w:bookmarkStart w:id="162" w:name="_Toc28967120"/>
      <w:bookmarkStart w:id="163" w:name="_Toc28967373"/>
      <w:bookmarkStart w:id="164" w:name="_Toc101602035"/>
      <w:bookmarkStart w:id="165" w:name="_Toc28881632"/>
      <w:r w:rsidRPr="008F710D">
        <w:lastRenderedPageBreak/>
        <w:t>I. TRATTAMENTO DEL RISCHIO: PREVISIONE DELLE MISURE GENERALI</w:t>
      </w:r>
      <w:bookmarkEnd w:id="161"/>
      <w:bookmarkEnd w:id="162"/>
      <w:bookmarkEnd w:id="163"/>
      <w:bookmarkEnd w:id="164"/>
    </w:p>
    <w:p w:rsidR="001121E9" w:rsidRPr="00391BAE" w:rsidRDefault="009D514F" w:rsidP="004E614E">
      <w:pPr>
        <w:pStyle w:val="Titolo3"/>
      </w:pPr>
      <w:bookmarkStart w:id="166" w:name="_Toc28881637"/>
      <w:bookmarkStart w:id="167" w:name="_Toc28966901"/>
      <w:bookmarkStart w:id="168" w:name="_Toc28967121"/>
      <w:bookmarkStart w:id="169" w:name="_Toc28967374"/>
      <w:bookmarkStart w:id="170" w:name="_Toc101602036"/>
      <w:bookmarkEnd w:id="165"/>
      <w:r w:rsidRPr="00391BAE">
        <w:t>A</w:t>
      </w:r>
      <w:r w:rsidR="007D2B30" w:rsidRPr="00391BAE">
        <w:t>.</w:t>
      </w:r>
      <w:r w:rsidRPr="00391BAE">
        <w:t xml:space="preserve"> </w:t>
      </w:r>
      <w:r w:rsidR="00C728EC" w:rsidRPr="00391BAE">
        <w:t>Codice di comportamento</w:t>
      </w:r>
      <w:bookmarkEnd w:id="166"/>
      <w:bookmarkEnd w:id="167"/>
      <w:bookmarkEnd w:id="168"/>
      <w:bookmarkEnd w:id="169"/>
      <w:bookmarkEnd w:id="170"/>
    </w:p>
    <w:p w:rsidR="00E50E41" w:rsidRPr="00B67FEC" w:rsidRDefault="00E50E41" w:rsidP="00E50E41">
      <w:pPr>
        <w:rPr>
          <w:rFonts w:cs="Calibri"/>
          <w:b/>
        </w:rPr>
      </w:pPr>
      <w:r w:rsidRPr="00B67FEC">
        <w:rPr>
          <w:rFonts w:cs="Calibri"/>
          <w:b/>
        </w:rPr>
        <w:t>Descrizione della misura</w:t>
      </w:r>
    </w:p>
    <w:p w:rsidR="00391BAE" w:rsidRDefault="00391BAE" w:rsidP="00401DD4">
      <w:pPr>
        <w:ind w:right="90"/>
        <w:contextualSpacing/>
        <w:rPr>
          <w:rFonts w:cs="Calibri"/>
        </w:rPr>
      </w:pPr>
      <w:r w:rsidRPr="00391BAE">
        <w:rPr>
          <w:rFonts w:cs="Calibri"/>
        </w:rPr>
        <w:t xml:space="preserve">Il Codice Etico </w:t>
      </w:r>
      <w:r w:rsidR="00EC0950">
        <w:rPr>
          <w:rFonts w:cs="Calibri"/>
        </w:rPr>
        <w:t>Segrate Servizi Srl</w:t>
      </w:r>
      <w:r w:rsidRPr="00391BAE">
        <w:rPr>
          <w:rFonts w:cs="Calibri"/>
        </w:rPr>
        <w:t xml:space="preserve"> ad integrazione di quello del Comune di Segrate è stato approvato dall’Assemblea dei Soci in data 30/06/2016</w:t>
      </w:r>
      <w:r>
        <w:rPr>
          <w:rFonts w:cs="Calibri"/>
        </w:rPr>
        <w:t xml:space="preserve">. Applica peraltro </w:t>
      </w:r>
      <w:r w:rsidR="00922B6F">
        <w:rPr>
          <w:rFonts w:cs="Calibri"/>
        </w:rPr>
        <w:t xml:space="preserve">anche </w:t>
      </w:r>
      <w:r>
        <w:rPr>
          <w:rFonts w:cs="Calibri"/>
        </w:rPr>
        <w:t>il Codice di Comportamento del Comune di Segrate.</w:t>
      </w:r>
    </w:p>
    <w:p w:rsidR="00401DD4" w:rsidRPr="00B67FEC" w:rsidRDefault="00391BAE" w:rsidP="00401DD4">
      <w:pPr>
        <w:ind w:right="90"/>
        <w:contextualSpacing/>
        <w:rPr>
          <w:rFonts w:cs="Calibri"/>
        </w:rPr>
      </w:pPr>
      <w:r w:rsidRPr="00B67FEC">
        <w:rPr>
          <w:rFonts w:cs="Calibri"/>
        </w:rPr>
        <w:t xml:space="preserve">Le disposizioni riportate nei Codici </w:t>
      </w:r>
      <w:r w:rsidR="00401DD4" w:rsidRPr="00B67FEC">
        <w:rPr>
          <w:rFonts w:cs="Calibri"/>
        </w:rPr>
        <w:t xml:space="preserve">specificano le norme di condotta dei dipendenti e collaboratori di </w:t>
      </w:r>
      <w:r w:rsidR="00EC0950">
        <w:rPr>
          <w:rFonts w:cs="Calibri"/>
        </w:rPr>
        <w:t>Segrate Servizi Srl</w:t>
      </w:r>
      <w:r w:rsidRPr="00B67FEC">
        <w:rPr>
          <w:rFonts w:cs="Calibri"/>
        </w:rPr>
        <w:t>.</w:t>
      </w:r>
    </w:p>
    <w:p w:rsidR="00401DD4" w:rsidRPr="00B605E4" w:rsidRDefault="00401DD4" w:rsidP="00401DD4">
      <w:pPr>
        <w:ind w:right="90"/>
        <w:contextualSpacing/>
        <w:rPr>
          <w:rFonts w:cs="Calibri"/>
        </w:rPr>
      </w:pPr>
      <w:r w:rsidRPr="00B67FEC">
        <w:rPr>
          <w:rFonts w:cs="Calibri"/>
        </w:rPr>
        <w:t>La v</w:t>
      </w:r>
      <w:r w:rsidR="00391BAE" w:rsidRPr="00B67FEC">
        <w:rPr>
          <w:rFonts w:cs="Calibri"/>
        </w:rPr>
        <w:t>iolazione delle disposizioni dei Codici</w:t>
      </w:r>
      <w:r w:rsidRPr="00B67FEC">
        <w:rPr>
          <w:rFonts w:cs="Calibri"/>
        </w:rPr>
        <w:t xml:space="preserve">, fermo restando la responsabilità penale, civile, amministrativa o contabile del dipendente, è fonte di responsabilità disciplinare accertata all’esito del procedimento disciplinare, nel rispetto dei </w:t>
      </w:r>
      <w:r w:rsidRPr="00B605E4">
        <w:rPr>
          <w:rFonts w:cs="Calibri"/>
        </w:rPr>
        <w:t>principi di gradualità e proporzionalità delle sanzioni.</w:t>
      </w:r>
    </w:p>
    <w:p w:rsidR="00922B6F" w:rsidRDefault="00922B6F" w:rsidP="00922B6F">
      <w:pPr>
        <w:ind w:right="90"/>
        <w:contextualSpacing/>
        <w:rPr>
          <w:rFonts w:cs="Calibri"/>
        </w:rPr>
      </w:pPr>
      <w:r w:rsidRPr="00B605E4">
        <w:rPr>
          <w:rFonts w:cs="Calibri"/>
        </w:rPr>
        <w:t>La Società, in sede di assunzione o di sti</w:t>
      </w:r>
      <w:r w:rsidR="004F162F" w:rsidRPr="00B605E4">
        <w:rPr>
          <w:rFonts w:cs="Calibri"/>
        </w:rPr>
        <w:t>pula di contratto professionale</w:t>
      </w:r>
      <w:r w:rsidR="007B3C87" w:rsidRPr="00B605E4">
        <w:rPr>
          <w:rFonts w:cs="Calibri"/>
        </w:rPr>
        <w:t>,</w:t>
      </w:r>
      <w:r w:rsidR="004F162F" w:rsidRPr="00B605E4">
        <w:rPr>
          <w:rFonts w:cs="Calibri"/>
        </w:rPr>
        <w:t xml:space="preserve"> obbliga </w:t>
      </w:r>
      <w:r w:rsidR="00DF7EBA" w:rsidRPr="00B605E4">
        <w:rPr>
          <w:rFonts w:cs="Calibri"/>
        </w:rPr>
        <w:t xml:space="preserve">i soggetti </w:t>
      </w:r>
      <w:r w:rsidR="004F162F" w:rsidRPr="00B605E4">
        <w:rPr>
          <w:rFonts w:cs="Calibri"/>
        </w:rPr>
        <w:t>al rispetto del</w:t>
      </w:r>
      <w:r w:rsidRPr="00B605E4">
        <w:rPr>
          <w:rFonts w:cs="Calibri"/>
        </w:rPr>
        <w:t xml:space="preserve"> contratto di lavoro, </w:t>
      </w:r>
      <w:r w:rsidR="004F162F" w:rsidRPr="00B605E4">
        <w:rPr>
          <w:rFonts w:cs="Calibri"/>
        </w:rPr>
        <w:t>dei due Codici</w:t>
      </w:r>
      <w:r w:rsidRPr="00B605E4">
        <w:rPr>
          <w:rFonts w:cs="Calibri"/>
        </w:rPr>
        <w:t xml:space="preserve"> </w:t>
      </w:r>
      <w:r w:rsidR="004F162F" w:rsidRPr="00B605E4">
        <w:rPr>
          <w:rFonts w:cs="Calibri"/>
        </w:rPr>
        <w:t>Etici</w:t>
      </w:r>
      <w:r w:rsidRPr="00B605E4">
        <w:rPr>
          <w:rFonts w:cs="Calibri"/>
        </w:rPr>
        <w:t xml:space="preserve"> di Comportamento</w:t>
      </w:r>
      <w:r w:rsidR="007B3C87" w:rsidRPr="00B605E4">
        <w:rPr>
          <w:rFonts w:cs="Calibri"/>
        </w:rPr>
        <w:t xml:space="preserve">, dei Regolamenti della Società, del modello organizzativo e dello Statuto pubblicati </w:t>
      </w:r>
      <w:r w:rsidR="004F162F" w:rsidRPr="00B605E4">
        <w:rPr>
          <w:rFonts w:cs="Calibri"/>
        </w:rPr>
        <w:t>sul sito della società</w:t>
      </w:r>
      <w:r w:rsidRPr="00B605E4">
        <w:rPr>
          <w:rFonts w:cs="Calibri"/>
        </w:rPr>
        <w:t>.</w:t>
      </w:r>
    </w:p>
    <w:p w:rsidR="00CA0CCB" w:rsidRPr="00313E49" w:rsidRDefault="00CA0CCB" w:rsidP="00313E49">
      <w:pPr>
        <w:rPr>
          <w:rFonts w:eastAsia="MS Mincho"/>
          <w:lang w:eastAsia="ja-JP"/>
        </w:rPr>
      </w:pPr>
      <w:r w:rsidRPr="00313E49">
        <w:rPr>
          <w:rFonts w:eastAsia="MS Mincho"/>
          <w:lang w:eastAsia="ja-JP"/>
        </w:rPr>
        <w:t xml:space="preserve">A tal fine trovano utilizzo i seguenti moduli: </w:t>
      </w:r>
    </w:p>
    <w:p w:rsidR="00CA0CCB" w:rsidRPr="00313E49" w:rsidRDefault="00CA0CCB" w:rsidP="00313E49">
      <w:pPr>
        <w:rPr>
          <w:rFonts w:eastAsia="MS Mincho"/>
          <w:lang w:eastAsia="ja-JP"/>
        </w:rPr>
      </w:pPr>
      <w:r w:rsidRPr="00313E49">
        <w:rPr>
          <w:rFonts w:eastAsia="MS Mincho"/>
          <w:lang w:eastAsia="ja-JP"/>
        </w:rPr>
        <w:t>6.1 Dichiarazione di assenza di conflitto d’interesse – Consulenti e collaboratori</w:t>
      </w:r>
    </w:p>
    <w:p w:rsidR="00CA0CCB" w:rsidRPr="00313E49" w:rsidRDefault="00CA0CCB" w:rsidP="00313E49">
      <w:pPr>
        <w:rPr>
          <w:rFonts w:eastAsia="MS Mincho"/>
          <w:lang w:eastAsia="ja-JP"/>
        </w:rPr>
      </w:pPr>
      <w:r w:rsidRPr="00313E49">
        <w:rPr>
          <w:rFonts w:eastAsia="MS Mincho"/>
          <w:lang w:eastAsia="ja-JP"/>
        </w:rPr>
        <w:t xml:space="preserve">6.2 Dichiarazione interessi finanziari e conflitto di interessi – </w:t>
      </w:r>
      <w:r w:rsidR="005D0B91" w:rsidRPr="00313E49">
        <w:rPr>
          <w:rFonts w:eastAsia="MS Mincho"/>
          <w:lang w:eastAsia="ja-JP"/>
        </w:rPr>
        <w:t>Direttore/RUP</w:t>
      </w:r>
    </w:p>
    <w:p w:rsidR="007B3C87" w:rsidRPr="00B605E4" w:rsidRDefault="00922B6F" w:rsidP="007B3C87">
      <w:pPr>
        <w:ind w:right="90"/>
        <w:contextualSpacing/>
        <w:rPr>
          <w:rFonts w:cs="Calibri"/>
        </w:rPr>
      </w:pPr>
      <w:r w:rsidRPr="00B605E4">
        <w:rPr>
          <w:rFonts w:cs="Calibri"/>
        </w:rPr>
        <w:t xml:space="preserve">Per ciò che riguarda </w:t>
      </w:r>
      <w:r w:rsidR="004F162F" w:rsidRPr="00B605E4">
        <w:rPr>
          <w:rFonts w:cs="Calibri"/>
        </w:rPr>
        <w:t>le</w:t>
      </w:r>
      <w:r w:rsidRPr="00B605E4">
        <w:rPr>
          <w:rFonts w:cs="Calibri"/>
        </w:rPr>
        <w:t xml:space="preserve"> imprese che svolgono servizi </w:t>
      </w:r>
      <w:r w:rsidR="004F162F" w:rsidRPr="00B605E4">
        <w:rPr>
          <w:rFonts w:cs="Calibri"/>
        </w:rPr>
        <w:t>o effettuano forniture al</w:t>
      </w:r>
      <w:r w:rsidRPr="00B605E4">
        <w:rPr>
          <w:rFonts w:cs="Calibri"/>
        </w:rPr>
        <w:t xml:space="preserve">la Società, Segrate Servizi Srl si impegna a </w:t>
      </w:r>
      <w:r w:rsidR="004F162F" w:rsidRPr="00B605E4">
        <w:rPr>
          <w:rFonts w:cs="Calibri"/>
        </w:rPr>
        <w:t>richiedere</w:t>
      </w:r>
      <w:r w:rsidR="00DF7EBA" w:rsidRPr="00B605E4">
        <w:rPr>
          <w:rFonts w:cs="Calibri"/>
        </w:rPr>
        <w:t xml:space="preserve"> loro</w:t>
      </w:r>
      <w:r w:rsidR="004F162F" w:rsidRPr="00B605E4">
        <w:rPr>
          <w:rFonts w:cs="Calibri"/>
        </w:rPr>
        <w:t xml:space="preserve"> l’iscrizione al proprio albo fornitori, con tale </w:t>
      </w:r>
      <w:r w:rsidR="007B3C87" w:rsidRPr="00B605E4">
        <w:rPr>
          <w:rFonts w:cs="Calibri"/>
        </w:rPr>
        <w:t>modulo</w:t>
      </w:r>
      <w:r w:rsidR="004F162F" w:rsidRPr="00B605E4">
        <w:rPr>
          <w:rFonts w:cs="Calibri"/>
        </w:rPr>
        <w:t xml:space="preserve"> </w:t>
      </w:r>
      <w:r w:rsidR="00DF7EBA" w:rsidRPr="00B605E4">
        <w:rPr>
          <w:rFonts w:cs="Calibri"/>
        </w:rPr>
        <w:t xml:space="preserve">essi </w:t>
      </w:r>
      <w:r w:rsidR="007B3C87" w:rsidRPr="00B605E4">
        <w:rPr>
          <w:rFonts w:cs="Calibri"/>
        </w:rPr>
        <w:t>si obbligano al rispetto</w:t>
      </w:r>
      <w:r w:rsidR="004F162F" w:rsidRPr="00B605E4">
        <w:rPr>
          <w:rFonts w:cs="Calibri"/>
        </w:rPr>
        <w:t xml:space="preserve"> </w:t>
      </w:r>
      <w:r w:rsidR="007B3C87" w:rsidRPr="00B605E4">
        <w:rPr>
          <w:rFonts w:cs="Calibri"/>
        </w:rPr>
        <w:t>dei due Codici Etici di Comportamento, dei Regolamenti della Società, del modello organizzativo e dello Statuto pubblicati sul sito della società</w:t>
      </w:r>
      <w:r w:rsidR="00DF7EBA" w:rsidRPr="00B605E4">
        <w:rPr>
          <w:rFonts w:cs="Calibri"/>
        </w:rPr>
        <w:t>.</w:t>
      </w:r>
    </w:p>
    <w:p w:rsidR="00DF7EBA" w:rsidRPr="00B605E4" w:rsidRDefault="00DF7EBA" w:rsidP="00DF7EBA">
      <w:pPr>
        <w:ind w:right="90"/>
        <w:contextualSpacing/>
        <w:rPr>
          <w:rFonts w:cs="Calibri"/>
        </w:rPr>
      </w:pPr>
      <w:r w:rsidRPr="00B605E4">
        <w:rPr>
          <w:rFonts w:cs="Calibri"/>
        </w:rPr>
        <w:t xml:space="preserve">Segrate Servizi Srl assicura la pubblicazione di tutti i documenti sopra riportati sul proprio sito web istituzionale: </w:t>
      </w:r>
      <w:hyperlink r:id="rId22" w:history="1">
        <w:r w:rsidRPr="00B605E4">
          <w:rPr>
            <w:rStyle w:val="Collegamentoipertestuale"/>
            <w:rFonts w:cs="Calibri"/>
          </w:rPr>
          <w:t>www.segrateservizi.it</w:t>
        </w:r>
      </w:hyperlink>
      <w:r w:rsidRPr="00B605E4">
        <w:rPr>
          <w:rFonts w:cs="Calibri"/>
        </w:rPr>
        <w:t xml:space="preserve"> sezione “società trasparente” “atti generali” “pubblicazioni vigenti”. </w:t>
      </w:r>
    </w:p>
    <w:p w:rsidR="00922B6F" w:rsidRPr="00B67FEC" w:rsidRDefault="00922B6F" w:rsidP="00922B6F">
      <w:pPr>
        <w:ind w:right="90"/>
        <w:contextualSpacing/>
        <w:rPr>
          <w:rFonts w:cs="Calibri"/>
        </w:rPr>
      </w:pPr>
    </w:p>
    <w:p w:rsidR="007D2B30" w:rsidRPr="00B67FEC" w:rsidRDefault="007D2B30" w:rsidP="0049154B">
      <w:pPr>
        <w:rPr>
          <w:rFonts w:cs="Calibri"/>
          <w:b/>
        </w:rPr>
      </w:pPr>
      <w:r w:rsidRPr="00B67FEC">
        <w:rPr>
          <w:rFonts w:cs="Calibri"/>
          <w:b/>
        </w:rPr>
        <w:t>M</w:t>
      </w:r>
      <w:r w:rsidR="009D514F" w:rsidRPr="00B67FEC">
        <w:rPr>
          <w:rFonts w:cs="Calibri"/>
          <w:b/>
        </w:rPr>
        <w:t>odalità della programmazione della m</w:t>
      </w:r>
      <w:r w:rsidRPr="00B67FEC">
        <w:rPr>
          <w:rFonts w:cs="Calibri"/>
          <w:b/>
        </w:rPr>
        <w:t>isura: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704"/>
      </w:tblGrid>
      <w:tr w:rsidR="007D2B30" w:rsidRPr="00B67FEC" w:rsidTr="003D6F27">
        <w:tc>
          <w:tcPr>
            <w:tcW w:w="2376" w:type="dxa"/>
            <w:shd w:val="clear" w:color="auto" w:fill="auto"/>
          </w:tcPr>
          <w:p w:rsidR="007D2B30" w:rsidRPr="00B67FEC" w:rsidRDefault="007D2B30" w:rsidP="003D6F27">
            <w:pPr>
              <w:spacing w:line="276" w:lineRule="auto"/>
              <w:jc w:val="left"/>
              <w:rPr>
                <w:rFonts w:cs="Calibri"/>
                <w:b/>
              </w:rPr>
            </w:pPr>
            <w:r w:rsidRPr="00B67FEC">
              <w:rPr>
                <w:rFonts w:cs="Calibri"/>
                <w:b/>
              </w:rPr>
              <w:t>Fasi/attività per la sua attuazione</w:t>
            </w:r>
          </w:p>
        </w:tc>
        <w:tc>
          <w:tcPr>
            <w:tcW w:w="7704" w:type="dxa"/>
            <w:shd w:val="clear" w:color="auto" w:fill="auto"/>
          </w:tcPr>
          <w:p w:rsidR="00CA0CCB" w:rsidRPr="005D3583" w:rsidRDefault="00CA0CCB" w:rsidP="00CA0CCB">
            <w:pPr>
              <w:spacing w:line="276" w:lineRule="auto"/>
              <w:jc w:val="left"/>
            </w:pPr>
            <w:r w:rsidRPr="005D3583">
              <w:t>Per il 202</w:t>
            </w:r>
            <w:r w:rsidR="00313E49">
              <w:t>2</w:t>
            </w:r>
            <w:r w:rsidRPr="005D3583">
              <w:t xml:space="preserve">, si </w:t>
            </w:r>
            <w:r w:rsidR="00AA4E10">
              <w:t>attuerà la</w:t>
            </w:r>
            <w:r w:rsidRPr="005D3583">
              <w:t xml:space="preserve"> misura come sopra descritta, perseguendo i seguenti traguardi:</w:t>
            </w:r>
          </w:p>
          <w:p w:rsidR="00CA0CCB" w:rsidRDefault="00CA0CCB" w:rsidP="00CA0CCB">
            <w:pPr>
              <w:spacing w:line="276" w:lineRule="auto"/>
              <w:jc w:val="left"/>
            </w:pPr>
            <w:r>
              <w:t>Aggiornamento Codice LG ANAC 177/2020: entro 31/12</w:t>
            </w:r>
          </w:p>
          <w:p w:rsidR="00CA0CCB" w:rsidRPr="005D3583" w:rsidRDefault="00CA0CCB" w:rsidP="00CA0CCB">
            <w:pPr>
              <w:spacing w:line="276" w:lineRule="auto"/>
              <w:jc w:val="left"/>
            </w:pPr>
            <w:r w:rsidRPr="005D3583">
              <w:t>Violazioni verificate</w:t>
            </w:r>
            <w:r>
              <w:t>:</w:t>
            </w:r>
            <w:r w:rsidRPr="005D3583">
              <w:t xml:space="preserve"> n. 0</w:t>
            </w:r>
          </w:p>
          <w:p w:rsidR="007D2B30" w:rsidRPr="00B67FEC" w:rsidRDefault="00CA0CCB" w:rsidP="00CA0CCB">
            <w:pPr>
              <w:spacing w:line="276" w:lineRule="auto"/>
              <w:rPr>
                <w:rFonts w:cs="Calibri"/>
                <w:b/>
              </w:rPr>
            </w:pPr>
            <w:r w:rsidRPr="005D3583">
              <w:t>Consegna Codice nuovi assunti</w:t>
            </w:r>
            <w:r>
              <w:t xml:space="preserve">/incaricati: </w:t>
            </w:r>
            <w:r w:rsidRPr="005D3583">
              <w:t>100%</w:t>
            </w:r>
          </w:p>
        </w:tc>
      </w:tr>
      <w:tr w:rsidR="007D2B30" w:rsidRPr="00B67FEC" w:rsidTr="003D6F27">
        <w:tc>
          <w:tcPr>
            <w:tcW w:w="2376" w:type="dxa"/>
            <w:shd w:val="clear" w:color="auto" w:fill="auto"/>
          </w:tcPr>
          <w:p w:rsidR="007D2B30" w:rsidRPr="00B67FEC" w:rsidRDefault="007D2B30" w:rsidP="003D6F27">
            <w:pPr>
              <w:spacing w:line="276" w:lineRule="auto"/>
              <w:jc w:val="left"/>
              <w:rPr>
                <w:rFonts w:cs="Calibri"/>
                <w:b/>
              </w:rPr>
            </w:pPr>
            <w:r w:rsidRPr="00B67FEC">
              <w:rPr>
                <w:rFonts w:cs="Calibri"/>
                <w:b/>
              </w:rPr>
              <w:t>Tempi di attuazione</w:t>
            </w:r>
          </w:p>
        </w:tc>
        <w:tc>
          <w:tcPr>
            <w:tcW w:w="7704" w:type="dxa"/>
            <w:shd w:val="clear" w:color="auto" w:fill="auto"/>
          </w:tcPr>
          <w:p w:rsidR="007D2B30" w:rsidRPr="00CA0CCB" w:rsidRDefault="007D2B30" w:rsidP="003D6F27">
            <w:pPr>
              <w:spacing w:line="276" w:lineRule="auto"/>
              <w:rPr>
                <w:rFonts w:cs="Calibri"/>
                <w:bCs/>
              </w:rPr>
            </w:pPr>
            <w:r w:rsidRPr="00CA0CCB">
              <w:rPr>
                <w:rFonts w:cs="Calibri"/>
                <w:bCs/>
              </w:rPr>
              <w:t>Costante nel tempo</w:t>
            </w:r>
          </w:p>
        </w:tc>
      </w:tr>
      <w:tr w:rsidR="007D2B30" w:rsidRPr="00B67FEC" w:rsidTr="003D6F27">
        <w:tc>
          <w:tcPr>
            <w:tcW w:w="2376" w:type="dxa"/>
            <w:shd w:val="clear" w:color="auto" w:fill="auto"/>
          </w:tcPr>
          <w:p w:rsidR="007D2B30" w:rsidRPr="00B67FEC" w:rsidRDefault="007D2B30" w:rsidP="003D6F27">
            <w:pPr>
              <w:spacing w:line="276" w:lineRule="auto"/>
              <w:jc w:val="left"/>
              <w:rPr>
                <w:rFonts w:cs="Calibri"/>
                <w:b/>
              </w:rPr>
            </w:pPr>
            <w:r w:rsidRPr="00B67FEC">
              <w:rPr>
                <w:rFonts w:cs="Calibri"/>
                <w:b/>
              </w:rPr>
              <w:t>Responsabili della sua attuazione</w:t>
            </w:r>
          </w:p>
        </w:tc>
        <w:tc>
          <w:tcPr>
            <w:tcW w:w="7704" w:type="dxa"/>
            <w:shd w:val="clear" w:color="auto" w:fill="auto"/>
          </w:tcPr>
          <w:p w:rsidR="007D2B30" w:rsidRPr="00CA0CCB" w:rsidRDefault="00401DD4" w:rsidP="003D6F27">
            <w:pPr>
              <w:spacing w:line="276" w:lineRule="auto"/>
              <w:rPr>
                <w:rFonts w:cs="Calibri"/>
                <w:bCs/>
              </w:rPr>
            </w:pPr>
            <w:r w:rsidRPr="00CA0CCB">
              <w:rPr>
                <w:rFonts w:cs="Calibri"/>
                <w:bCs/>
              </w:rPr>
              <w:t>AU</w:t>
            </w:r>
            <w:r w:rsidR="007D2B30" w:rsidRPr="00CA0CCB">
              <w:rPr>
                <w:rFonts w:cs="Calibri"/>
                <w:bCs/>
              </w:rPr>
              <w:t xml:space="preserve"> per approvazione e aggiornamento</w:t>
            </w:r>
          </w:p>
          <w:p w:rsidR="007D2B30" w:rsidRPr="00CA0CCB" w:rsidRDefault="007D2B30" w:rsidP="003D6F27">
            <w:pPr>
              <w:spacing w:line="276" w:lineRule="auto"/>
              <w:rPr>
                <w:rFonts w:cs="Calibri"/>
                <w:bCs/>
              </w:rPr>
            </w:pPr>
            <w:r w:rsidRPr="00CA0CCB">
              <w:rPr>
                <w:rFonts w:cs="Calibri"/>
                <w:bCs/>
              </w:rPr>
              <w:t>RPC per comunicazione e controllo dipendenti</w:t>
            </w:r>
          </w:p>
          <w:p w:rsidR="007D2B30" w:rsidRPr="00CA0CCB" w:rsidRDefault="00391BAE" w:rsidP="00391BAE">
            <w:pPr>
              <w:spacing w:line="276" w:lineRule="auto"/>
              <w:rPr>
                <w:rFonts w:cs="Calibri"/>
                <w:bCs/>
              </w:rPr>
            </w:pPr>
            <w:r w:rsidRPr="00CA0CCB">
              <w:rPr>
                <w:rFonts w:cs="Calibri"/>
                <w:bCs/>
              </w:rPr>
              <w:t xml:space="preserve">Servizio </w:t>
            </w:r>
            <w:r w:rsidR="00401DD4" w:rsidRPr="00CA0CCB">
              <w:rPr>
                <w:rFonts w:cs="Calibri"/>
                <w:bCs/>
              </w:rPr>
              <w:t xml:space="preserve">Amministrativo </w:t>
            </w:r>
            <w:r w:rsidR="00E50E41" w:rsidRPr="00CA0CCB">
              <w:rPr>
                <w:rFonts w:cs="Calibri"/>
                <w:bCs/>
              </w:rPr>
              <w:t>per</w:t>
            </w:r>
            <w:r w:rsidR="007D2B30" w:rsidRPr="00CA0CCB">
              <w:rPr>
                <w:rFonts w:cs="Calibri"/>
                <w:bCs/>
              </w:rPr>
              <w:t xml:space="preserve"> fornitori</w:t>
            </w:r>
            <w:r w:rsidR="00E50E41" w:rsidRPr="00CA0CCB">
              <w:rPr>
                <w:rFonts w:cs="Calibri"/>
                <w:bCs/>
              </w:rPr>
              <w:t xml:space="preserve">, </w:t>
            </w:r>
            <w:r w:rsidR="007D2B30" w:rsidRPr="00CA0CCB">
              <w:rPr>
                <w:rFonts w:cs="Calibri"/>
                <w:bCs/>
              </w:rPr>
              <w:t>nuovi assunti e collaboratori occasionali</w:t>
            </w:r>
          </w:p>
        </w:tc>
      </w:tr>
      <w:tr w:rsidR="007D2B30" w:rsidRPr="00B67FEC" w:rsidTr="003D6F27">
        <w:tc>
          <w:tcPr>
            <w:tcW w:w="2376" w:type="dxa"/>
            <w:shd w:val="clear" w:color="auto" w:fill="auto"/>
          </w:tcPr>
          <w:p w:rsidR="007D2B30" w:rsidRPr="00B67FEC" w:rsidRDefault="007D2B30" w:rsidP="003D6F27">
            <w:pPr>
              <w:spacing w:line="276" w:lineRule="auto"/>
              <w:jc w:val="left"/>
              <w:rPr>
                <w:rFonts w:cs="Calibri"/>
                <w:b/>
              </w:rPr>
            </w:pPr>
            <w:r w:rsidRPr="00B67FEC">
              <w:rPr>
                <w:rFonts w:cs="Calibri"/>
                <w:b/>
              </w:rPr>
              <w:t>Indicatori di monitoraggio</w:t>
            </w:r>
          </w:p>
        </w:tc>
        <w:tc>
          <w:tcPr>
            <w:tcW w:w="7704" w:type="dxa"/>
            <w:shd w:val="clear" w:color="auto" w:fill="auto"/>
          </w:tcPr>
          <w:p w:rsidR="007D2B30" w:rsidRPr="00CA0CCB" w:rsidRDefault="007D2B30" w:rsidP="003D6F27">
            <w:pPr>
              <w:spacing w:line="276" w:lineRule="auto"/>
              <w:rPr>
                <w:rFonts w:cs="Calibri"/>
                <w:bCs/>
              </w:rPr>
            </w:pPr>
            <w:r w:rsidRPr="00CA0CCB">
              <w:rPr>
                <w:rFonts w:cs="Calibri"/>
                <w:bCs/>
              </w:rPr>
              <w:t>Violazioni al Codice di Comportamento: 0</w:t>
            </w:r>
          </w:p>
          <w:p w:rsidR="007D2B30" w:rsidRPr="00CA0CCB" w:rsidRDefault="007D2B30" w:rsidP="003D6F27">
            <w:pPr>
              <w:spacing w:line="276" w:lineRule="auto"/>
              <w:rPr>
                <w:rFonts w:cs="Calibri"/>
                <w:bCs/>
              </w:rPr>
            </w:pPr>
            <w:r w:rsidRPr="00CA0CCB">
              <w:rPr>
                <w:rFonts w:cs="Calibri"/>
                <w:bCs/>
              </w:rPr>
              <w:t>Consegna Codice a nuovi assunti/collaboratori: 100%</w:t>
            </w:r>
          </w:p>
        </w:tc>
      </w:tr>
      <w:tr w:rsidR="003D6F27" w:rsidRPr="00B67FEC" w:rsidTr="003D6F27">
        <w:tc>
          <w:tcPr>
            <w:tcW w:w="2376" w:type="dxa"/>
            <w:shd w:val="clear" w:color="auto" w:fill="auto"/>
          </w:tcPr>
          <w:p w:rsidR="003D6F27" w:rsidRPr="00B67FEC" w:rsidRDefault="003D6F27" w:rsidP="003D6F27">
            <w:pPr>
              <w:spacing w:line="276" w:lineRule="auto"/>
              <w:jc w:val="left"/>
              <w:rPr>
                <w:rFonts w:cs="Calibri"/>
                <w:b/>
              </w:rPr>
            </w:pPr>
            <w:r w:rsidRPr="00B67FEC">
              <w:rPr>
                <w:rFonts w:cs="Calibri"/>
                <w:b/>
              </w:rPr>
              <w:t>Attuazione della misura</w:t>
            </w:r>
          </w:p>
        </w:tc>
        <w:tc>
          <w:tcPr>
            <w:tcW w:w="7704" w:type="dxa"/>
            <w:shd w:val="clear" w:color="auto" w:fill="auto"/>
          </w:tcPr>
          <w:p w:rsidR="003D6F27" w:rsidRPr="00CA0CCB" w:rsidRDefault="003D6F27" w:rsidP="003D6F27">
            <w:pPr>
              <w:spacing w:line="276" w:lineRule="auto"/>
              <w:rPr>
                <w:rFonts w:cs="Calibri"/>
                <w:bCs/>
              </w:rPr>
            </w:pPr>
            <w:r w:rsidRPr="00CA0CCB">
              <w:rPr>
                <w:rFonts w:cs="Calibri"/>
                <w:bCs/>
              </w:rPr>
              <w:t>2018: 100%</w:t>
            </w:r>
          </w:p>
          <w:p w:rsidR="003D6F27" w:rsidRDefault="003D6F27" w:rsidP="003D6F27">
            <w:pPr>
              <w:spacing w:line="276" w:lineRule="auto"/>
              <w:rPr>
                <w:rFonts w:cs="Calibri"/>
                <w:bCs/>
              </w:rPr>
            </w:pPr>
            <w:r w:rsidRPr="00CA0CCB">
              <w:rPr>
                <w:rFonts w:cs="Calibri"/>
                <w:bCs/>
              </w:rPr>
              <w:t>2019: 100%</w:t>
            </w:r>
          </w:p>
          <w:p w:rsidR="00CA0CCB" w:rsidRDefault="00CA0CCB" w:rsidP="003D6F27">
            <w:pPr>
              <w:spacing w:line="276" w:lineRule="auto"/>
              <w:rPr>
                <w:rFonts w:cs="Calibri"/>
                <w:bCs/>
              </w:rPr>
            </w:pPr>
            <w:r>
              <w:rPr>
                <w:rFonts w:cs="Calibri"/>
                <w:bCs/>
              </w:rPr>
              <w:t>2020: 100%</w:t>
            </w:r>
          </w:p>
          <w:p w:rsidR="00313E49" w:rsidRPr="00CA0CCB" w:rsidRDefault="00313E49" w:rsidP="003D6F27">
            <w:pPr>
              <w:spacing w:line="276" w:lineRule="auto"/>
              <w:rPr>
                <w:rFonts w:cs="Calibri"/>
                <w:bCs/>
              </w:rPr>
            </w:pPr>
            <w:r>
              <w:rPr>
                <w:rFonts w:cs="Calibri"/>
                <w:bCs/>
              </w:rPr>
              <w:t>2021: 100%</w:t>
            </w:r>
          </w:p>
        </w:tc>
      </w:tr>
    </w:tbl>
    <w:p w:rsidR="000D50F1" w:rsidRDefault="000D50F1" w:rsidP="004E614E">
      <w:pPr>
        <w:pStyle w:val="Titolo3"/>
      </w:pPr>
      <w:bookmarkStart w:id="171" w:name="_Toc28881644"/>
      <w:bookmarkStart w:id="172" w:name="_Toc28966902"/>
      <w:bookmarkStart w:id="173" w:name="_Toc28967122"/>
      <w:bookmarkStart w:id="174" w:name="_Toc28967375"/>
      <w:bookmarkStart w:id="175" w:name="_Toc28881638"/>
    </w:p>
    <w:p w:rsidR="007D2B30" w:rsidRPr="00D857F5" w:rsidRDefault="000D50F1" w:rsidP="00D857F5">
      <w:pPr>
        <w:pStyle w:val="Titolo3"/>
      </w:pPr>
      <w:r>
        <w:br w:type="page"/>
      </w:r>
      <w:bookmarkStart w:id="176" w:name="_Toc101602037"/>
      <w:r w:rsidR="007D2B30" w:rsidRPr="008F710D">
        <w:lastRenderedPageBreak/>
        <w:t xml:space="preserve">B. </w:t>
      </w:r>
      <w:r w:rsidR="00C728EC" w:rsidRPr="008F710D">
        <w:t>Rotazione del personale o misure alternative</w:t>
      </w:r>
      <w:bookmarkEnd w:id="171"/>
      <w:bookmarkEnd w:id="172"/>
      <w:bookmarkEnd w:id="173"/>
      <w:bookmarkEnd w:id="174"/>
      <w:bookmarkEnd w:id="176"/>
    </w:p>
    <w:p w:rsidR="00E50E41" w:rsidRPr="00B67FEC" w:rsidRDefault="00E50E41" w:rsidP="00E50E41">
      <w:pPr>
        <w:rPr>
          <w:rFonts w:cs="Calibri"/>
          <w:b/>
        </w:rPr>
      </w:pPr>
      <w:r w:rsidRPr="00B67FEC">
        <w:rPr>
          <w:rFonts w:cs="Calibri"/>
          <w:b/>
        </w:rPr>
        <w:t>Descrizione della misura</w:t>
      </w:r>
    </w:p>
    <w:p w:rsidR="007D2B30" w:rsidRPr="00B67FEC" w:rsidRDefault="007D2B30" w:rsidP="0049154B">
      <w:pPr>
        <w:rPr>
          <w:rFonts w:cs="Calibri"/>
        </w:rPr>
      </w:pPr>
      <w:r w:rsidRPr="00B67FEC">
        <w:rPr>
          <w:rFonts w:cs="Calibri"/>
        </w:rPr>
        <w:t xml:space="preserve">La rotazione del personale è considerata quale misura organizzativa preventiva per limitare il consolidarsi di relazioni che possano alimentare dinamiche improprie, conseguenti alla permanenza nel tempo di determinati dipendenti nel medesimo ruolo. </w:t>
      </w:r>
    </w:p>
    <w:p w:rsidR="006C1A37" w:rsidRDefault="006C1A37" w:rsidP="0049154B">
      <w:pPr>
        <w:rPr>
          <w:rFonts w:cs="Calibri"/>
        </w:rPr>
      </w:pPr>
    </w:p>
    <w:p w:rsidR="006C1A37" w:rsidRDefault="0012644F" w:rsidP="006C1A37">
      <w:pPr>
        <w:rPr>
          <w:rFonts w:eastAsia="MS Mincho" w:cs="Calibri"/>
          <w:lang w:eastAsia="ja-JP"/>
        </w:rPr>
      </w:pPr>
      <w:r>
        <w:rPr>
          <w:rFonts w:cs="Calibri"/>
        </w:rPr>
        <w:t xml:space="preserve">La delibera ANAC 1134/2017 prevede per le Società in Controllo Pubblico, quali </w:t>
      </w:r>
      <w:r w:rsidR="00EC0950">
        <w:rPr>
          <w:rFonts w:cs="Calibri"/>
        </w:rPr>
        <w:t>Segrate Servizi Srl</w:t>
      </w:r>
      <w:r w:rsidR="006C1A37" w:rsidRPr="00B67FEC">
        <w:rPr>
          <w:rFonts w:eastAsia="MS Mincho" w:cs="Calibri"/>
          <w:lang w:eastAsia="ja-JP"/>
        </w:rPr>
        <w:t xml:space="preserve">, non essendo inquadrata come Pubblica Amministrazione in senso stretto ai sensi dell’art. 1 c. 2 del d.lgs. 165/2001, </w:t>
      </w:r>
      <w:r>
        <w:rPr>
          <w:rFonts w:eastAsia="MS Mincho" w:cs="Calibri"/>
          <w:lang w:eastAsia="ja-JP"/>
        </w:rPr>
        <w:t>applichino comunque tale misura nelle seguenti modalità:</w:t>
      </w:r>
    </w:p>
    <w:p w:rsidR="0012644F" w:rsidRPr="0012644F" w:rsidRDefault="0012644F" w:rsidP="006C1A37">
      <w:pPr>
        <w:rPr>
          <w:rFonts w:eastAsia="MS Mincho" w:cs="Calibri"/>
          <w:i/>
          <w:lang w:eastAsia="ja-JP"/>
        </w:rPr>
      </w:pPr>
      <w:r w:rsidRPr="0012644F">
        <w:rPr>
          <w:rFonts w:eastAsia="MS Mincho" w:cs="Calibri"/>
          <w:i/>
          <w:lang w:eastAsia="ja-JP"/>
        </w:rPr>
        <w:t>- Rotazione o misure alternative</w:t>
      </w:r>
      <w:r>
        <w:rPr>
          <w:rFonts w:eastAsia="MS Mincho" w:cs="Calibri"/>
          <w:i/>
          <w:lang w:eastAsia="ja-JP"/>
        </w:rPr>
        <w:t>:</w:t>
      </w:r>
      <w:r w:rsidRPr="0012644F">
        <w:rPr>
          <w:rFonts w:eastAsia="MS Mincho" w:cs="Calibri"/>
          <w:i/>
          <w:lang w:eastAsia="ja-JP"/>
        </w:rPr>
        <w:t xml:space="preserve"> Uno dei principali fattori di rischio di corruzione è costituito dalla circostanza che uno stesso soggetto possa sfruttare un potere o una conoscenza nella gestione di processi caratterizzati da discrezionalità e da relazioni intrattenute con gli utenti per ottenere vantaggi illeciti. Al fine di ridurre tale rischio e avendo come riferimento la legge n. 190 del 2012 che attribuisce particolare efficacia preventiva alla rotazione, </w:t>
      </w:r>
      <w:r w:rsidR="00081638" w:rsidRPr="0012644F">
        <w:rPr>
          <w:rFonts w:eastAsia="MS Mincho" w:cs="Calibri"/>
          <w:i/>
          <w:lang w:eastAsia="ja-JP"/>
        </w:rPr>
        <w:t>è</w:t>
      </w:r>
      <w:r w:rsidRPr="0012644F">
        <w:rPr>
          <w:rFonts w:eastAsia="MS Mincho" w:cs="Calibri"/>
          <w:i/>
          <w:lang w:eastAsia="ja-JP"/>
        </w:rPr>
        <w:t xml:space="preserve"> auspicabile che questa misura sia attuata anche all'interno delle società, compatibilmente con le esigenze organizzative d'impresa. Essa implica una più elevata frequenza del turnover di quelle figure preposte alla gestione di processi più esposti al rischio di corruzione. La rotazione non deve comunque tradursi nella sottrazione di competenze professionali specialistiche ad uffici cui sono affidate attività a elevato contenuto tecnico. Altra misura efficace, in combinazione o alternativa alla rotazione, potrebbe essere quella della distinzione delle competenze (cd. "segregazione delle funzioni") che attribuisce a soggetti diversi i compiti di: a) svolgere istruttorie e accertamenti; b) adottare decisioni; c) attuare le decisioni prese; d) effettuare verifiche. Si rinvia al riguardo, per i profili di carattere generale, a quanto previsto per la misura della rotazione nel PNA 2016, adottato con delibera ANAC 831/2016, § 7.2.</w:t>
      </w:r>
    </w:p>
    <w:p w:rsidR="00391BAE" w:rsidRDefault="00EC0950" w:rsidP="006C1A37">
      <w:pPr>
        <w:rPr>
          <w:rFonts w:eastAsia="MS Mincho" w:cs="Calibri"/>
          <w:lang w:eastAsia="ja-JP"/>
        </w:rPr>
      </w:pPr>
      <w:r>
        <w:rPr>
          <w:rFonts w:eastAsia="MS Mincho" w:cs="Calibri"/>
          <w:lang w:eastAsia="ja-JP"/>
        </w:rPr>
        <w:t>Segrate Servizi Srl</w:t>
      </w:r>
      <w:r w:rsidR="00391BAE" w:rsidRPr="00391BAE">
        <w:rPr>
          <w:rFonts w:eastAsia="MS Mincho" w:cs="Calibri"/>
          <w:lang w:eastAsia="ja-JP"/>
        </w:rPr>
        <w:t xml:space="preserve"> </w:t>
      </w:r>
      <w:r w:rsidR="00081638">
        <w:rPr>
          <w:rFonts w:eastAsia="MS Mincho" w:cs="Calibri"/>
          <w:lang w:eastAsia="ja-JP"/>
        </w:rPr>
        <w:t xml:space="preserve">pertanto </w:t>
      </w:r>
      <w:r w:rsidR="00391BAE" w:rsidRPr="00391BAE">
        <w:rPr>
          <w:rFonts w:eastAsia="MS Mincho" w:cs="Calibri"/>
          <w:lang w:eastAsia="ja-JP"/>
        </w:rPr>
        <w:t>attua,</w:t>
      </w:r>
      <w:r w:rsidR="00391BAE">
        <w:rPr>
          <w:rFonts w:eastAsia="MS Mincho" w:cs="Calibri"/>
          <w:lang w:eastAsia="ja-JP"/>
        </w:rPr>
        <w:t xml:space="preserve"> volontariamente e </w:t>
      </w:r>
      <w:r w:rsidR="00391BAE" w:rsidRPr="00391BAE">
        <w:rPr>
          <w:rFonts w:eastAsia="MS Mincho" w:cs="Calibri"/>
          <w:lang w:eastAsia="ja-JP"/>
        </w:rPr>
        <w:t>periodicamente, la rotazione di sede operativa dei Direttori di Farmacia</w:t>
      </w:r>
      <w:r w:rsidR="00391BAE">
        <w:rPr>
          <w:rFonts w:eastAsia="MS Mincho" w:cs="Calibri"/>
          <w:lang w:eastAsia="ja-JP"/>
        </w:rPr>
        <w:t>.</w:t>
      </w:r>
    </w:p>
    <w:p w:rsidR="00081638" w:rsidRPr="007D2B30" w:rsidRDefault="00081638" w:rsidP="00081638">
      <w:pPr>
        <w:rPr>
          <w:b/>
        </w:rPr>
      </w:pPr>
      <w:r w:rsidRPr="007D2B30">
        <w:rPr>
          <w:b/>
        </w:rPr>
        <w:t>Modalità della programmazione della misura: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704"/>
      </w:tblGrid>
      <w:tr w:rsidR="00081638" w:rsidRPr="00BC3905" w:rsidTr="009E35E4">
        <w:tc>
          <w:tcPr>
            <w:tcW w:w="2376" w:type="dxa"/>
            <w:shd w:val="clear" w:color="auto" w:fill="auto"/>
          </w:tcPr>
          <w:p w:rsidR="00081638" w:rsidRPr="00313E49" w:rsidRDefault="00081638" w:rsidP="009E35E4">
            <w:pPr>
              <w:spacing w:line="276" w:lineRule="auto"/>
              <w:jc w:val="left"/>
              <w:rPr>
                <w:b/>
              </w:rPr>
            </w:pPr>
            <w:r w:rsidRPr="00313E49">
              <w:rPr>
                <w:b/>
              </w:rPr>
              <w:t>Fasi/attività per la sua attuazione</w:t>
            </w:r>
          </w:p>
        </w:tc>
        <w:tc>
          <w:tcPr>
            <w:tcW w:w="7704" w:type="dxa"/>
            <w:shd w:val="clear" w:color="auto" w:fill="auto"/>
          </w:tcPr>
          <w:p w:rsidR="00CA0CCB" w:rsidRPr="00313E49" w:rsidRDefault="00CA0CCB" w:rsidP="00CA0CCB">
            <w:pPr>
              <w:spacing w:line="240" w:lineRule="auto"/>
            </w:pPr>
            <w:r w:rsidRPr="00313E49">
              <w:t>Per il 202</w:t>
            </w:r>
            <w:r w:rsidR="00313E49">
              <w:t>2</w:t>
            </w:r>
            <w:r w:rsidRPr="00313E49">
              <w:t xml:space="preserve">, si </w:t>
            </w:r>
            <w:r w:rsidR="00AA4E10" w:rsidRPr="00313E49">
              <w:t>attuerà la</w:t>
            </w:r>
            <w:r w:rsidRPr="00313E49">
              <w:t xml:space="preserve"> misura come sopra descritta, perseguendo i seguenti traguardi:</w:t>
            </w:r>
          </w:p>
          <w:p w:rsidR="00CA0CCB" w:rsidRPr="00313E49" w:rsidRDefault="00CA0CCB" w:rsidP="00CA0CCB">
            <w:pPr>
              <w:spacing w:line="240" w:lineRule="auto"/>
              <w:rPr>
                <w:b/>
              </w:rPr>
            </w:pPr>
            <w:r w:rsidRPr="00313E49">
              <w:rPr>
                <w:b/>
              </w:rPr>
              <w:t>Procedure di rotazione ordinaria</w:t>
            </w:r>
          </w:p>
          <w:p w:rsidR="00CA0CCB" w:rsidRPr="00313E49" w:rsidRDefault="00CA0CCB" w:rsidP="00CA0CCB">
            <w:pPr>
              <w:spacing w:line="240" w:lineRule="auto"/>
            </w:pPr>
            <w:r w:rsidRPr="00313E49">
              <w:t>- eventuale modifica organico (previsti n. 2 nuovi Direttori Farmacia)</w:t>
            </w:r>
          </w:p>
          <w:p w:rsidR="00CA0CCB" w:rsidRPr="00313E49" w:rsidRDefault="00CA0CCB" w:rsidP="00CA0CCB">
            <w:pPr>
              <w:spacing w:line="240" w:lineRule="auto"/>
              <w:jc w:val="left"/>
              <w:rPr>
                <w:b/>
              </w:rPr>
            </w:pPr>
            <w:r w:rsidRPr="00313E49">
              <w:rPr>
                <w:b/>
              </w:rPr>
              <w:t>Procedure di rotazione straordinaria</w:t>
            </w:r>
          </w:p>
          <w:p w:rsidR="00081638" w:rsidRPr="00BC3905" w:rsidRDefault="00CA0CCB" w:rsidP="00CA0CCB">
            <w:pPr>
              <w:rPr>
                <w:b/>
              </w:rPr>
            </w:pPr>
            <w:r w:rsidRPr="00313E49">
              <w:t>- nessuna</w:t>
            </w:r>
          </w:p>
        </w:tc>
      </w:tr>
      <w:tr w:rsidR="00081638" w:rsidRPr="00BC3905" w:rsidTr="009E35E4">
        <w:tc>
          <w:tcPr>
            <w:tcW w:w="2376" w:type="dxa"/>
            <w:shd w:val="clear" w:color="auto" w:fill="auto"/>
          </w:tcPr>
          <w:p w:rsidR="00081638" w:rsidRPr="00BC3905" w:rsidRDefault="00081638" w:rsidP="009E35E4">
            <w:pPr>
              <w:spacing w:line="276" w:lineRule="auto"/>
              <w:jc w:val="left"/>
              <w:rPr>
                <w:b/>
              </w:rPr>
            </w:pPr>
            <w:r w:rsidRPr="00BC3905">
              <w:rPr>
                <w:b/>
              </w:rPr>
              <w:t>Tempi di attuazione</w:t>
            </w:r>
          </w:p>
        </w:tc>
        <w:tc>
          <w:tcPr>
            <w:tcW w:w="7704" w:type="dxa"/>
            <w:shd w:val="clear" w:color="auto" w:fill="auto"/>
          </w:tcPr>
          <w:p w:rsidR="00081638" w:rsidRPr="00CA0CCB" w:rsidRDefault="00081638" w:rsidP="009E35E4">
            <w:pPr>
              <w:rPr>
                <w:bCs/>
              </w:rPr>
            </w:pPr>
            <w:r w:rsidRPr="00CA0CCB">
              <w:rPr>
                <w:bCs/>
              </w:rPr>
              <w:t>Costante nel tempo</w:t>
            </w:r>
          </w:p>
        </w:tc>
      </w:tr>
      <w:tr w:rsidR="00081638" w:rsidRPr="00BC3905" w:rsidTr="009E35E4">
        <w:tc>
          <w:tcPr>
            <w:tcW w:w="2376" w:type="dxa"/>
            <w:shd w:val="clear" w:color="auto" w:fill="auto"/>
          </w:tcPr>
          <w:p w:rsidR="00081638" w:rsidRPr="00BC3905" w:rsidRDefault="00081638" w:rsidP="009E35E4">
            <w:pPr>
              <w:spacing w:line="276" w:lineRule="auto"/>
              <w:jc w:val="left"/>
              <w:rPr>
                <w:b/>
              </w:rPr>
            </w:pPr>
            <w:r w:rsidRPr="00BC3905">
              <w:rPr>
                <w:b/>
              </w:rPr>
              <w:t>Responsabili della sua attuazione</w:t>
            </w:r>
          </w:p>
        </w:tc>
        <w:tc>
          <w:tcPr>
            <w:tcW w:w="7704" w:type="dxa"/>
            <w:shd w:val="clear" w:color="auto" w:fill="auto"/>
          </w:tcPr>
          <w:p w:rsidR="00081638" w:rsidRPr="00CA0CCB" w:rsidRDefault="00081638" w:rsidP="009E35E4">
            <w:pPr>
              <w:rPr>
                <w:bCs/>
              </w:rPr>
            </w:pPr>
            <w:r w:rsidRPr="00CA0CCB">
              <w:rPr>
                <w:bCs/>
              </w:rPr>
              <w:t>AU per determinazione processi di riorganizzazione e aggiornamento</w:t>
            </w:r>
          </w:p>
          <w:p w:rsidR="00081638" w:rsidRPr="00CA0CCB" w:rsidRDefault="00081638" w:rsidP="009E35E4">
            <w:pPr>
              <w:rPr>
                <w:bCs/>
              </w:rPr>
            </w:pPr>
            <w:r w:rsidRPr="00CA0CCB">
              <w:rPr>
                <w:bCs/>
              </w:rPr>
              <w:t>RPC per attivazione della misura</w:t>
            </w:r>
          </w:p>
        </w:tc>
      </w:tr>
      <w:tr w:rsidR="00081638" w:rsidRPr="00BC3905" w:rsidTr="009E35E4">
        <w:tc>
          <w:tcPr>
            <w:tcW w:w="2376" w:type="dxa"/>
            <w:shd w:val="clear" w:color="auto" w:fill="auto"/>
          </w:tcPr>
          <w:p w:rsidR="00081638" w:rsidRPr="00BC3905" w:rsidRDefault="00081638" w:rsidP="009E35E4">
            <w:pPr>
              <w:spacing w:line="276" w:lineRule="auto"/>
              <w:jc w:val="left"/>
              <w:rPr>
                <w:b/>
              </w:rPr>
            </w:pPr>
            <w:r w:rsidRPr="00BC3905">
              <w:rPr>
                <w:b/>
              </w:rPr>
              <w:t>Indicatori di monitoraggio</w:t>
            </w:r>
          </w:p>
        </w:tc>
        <w:tc>
          <w:tcPr>
            <w:tcW w:w="7704" w:type="dxa"/>
            <w:shd w:val="clear" w:color="auto" w:fill="auto"/>
          </w:tcPr>
          <w:p w:rsidR="00081638" w:rsidRPr="00CA0CCB" w:rsidRDefault="00081638" w:rsidP="009E35E4">
            <w:pPr>
              <w:rPr>
                <w:bCs/>
              </w:rPr>
            </w:pPr>
            <w:r w:rsidRPr="00CA0CCB">
              <w:rPr>
                <w:bCs/>
              </w:rPr>
              <w:t>Rotazioni ordinarie: periodica rotazione Direttori di Farmacia</w:t>
            </w:r>
          </w:p>
          <w:p w:rsidR="00081638" w:rsidRPr="00CA0CCB" w:rsidRDefault="00081638" w:rsidP="009E35E4">
            <w:pPr>
              <w:rPr>
                <w:bCs/>
              </w:rPr>
            </w:pPr>
            <w:r w:rsidRPr="00CA0CCB">
              <w:rPr>
                <w:bCs/>
              </w:rPr>
              <w:t>Rotazioni straordinarie attivate su necessarie: 100%</w:t>
            </w:r>
          </w:p>
        </w:tc>
      </w:tr>
      <w:tr w:rsidR="00081638" w:rsidRPr="00BC3905" w:rsidTr="009E35E4">
        <w:tc>
          <w:tcPr>
            <w:tcW w:w="2376" w:type="dxa"/>
            <w:shd w:val="clear" w:color="auto" w:fill="auto"/>
          </w:tcPr>
          <w:p w:rsidR="00081638" w:rsidRPr="00BC3905" w:rsidRDefault="00081638" w:rsidP="009E35E4">
            <w:pPr>
              <w:spacing w:line="276" w:lineRule="auto"/>
              <w:jc w:val="left"/>
              <w:rPr>
                <w:b/>
              </w:rPr>
            </w:pPr>
            <w:r>
              <w:rPr>
                <w:b/>
              </w:rPr>
              <w:t>Attuazione della misura</w:t>
            </w:r>
          </w:p>
        </w:tc>
        <w:tc>
          <w:tcPr>
            <w:tcW w:w="7704" w:type="dxa"/>
            <w:shd w:val="clear" w:color="auto" w:fill="auto"/>
          </w:tcPr>
          <w:p w:rsidR="005E75DF" w:rsidRDefault="005E75DF" w:rsidP="009E35E4">
            <w:pPr>
              <w:rPr>
                <w:bCs/>
              </w:rPr>
            </w:pPr>
            <w:r>
              <w:rPr>
                <w:bCs/>
              </w:rPr>
              <w:t xml:space="preserve">2017: </w:t>
            </w:r>
            <w:r w:rsidRPr="00D857F5">
              <w:rPr>
                <w:bCs/>
              </w:rPr>
              <w:t>rotazione dei Direttori di Farmacia</w:t>
            </w:r>
          </w:p>
          <w:p w:rsidR="00081638" w:rsidRPr="00CA0CCB" w:rsidRDefault="00081638" w:rsidP="009E35E4">
            <w:pPr>
              <w:rPr>
                <w:bCs/>
              </w:rPr>
            </w:pPr>
            <w:r w:rsidRPr="00CA0CCB">
              <w:rPr>
                <w:bCs/>
              </w:rPr>
              <w:t>2018: nessuna rotazione straordinaria necessaria</w:t>
            </w:r>
          </w:p>
          <w:p w:rsidR="00081638" w:rsidRDefault="00081638" w:rsidP="009E35E4">
            <w:pPr>
              <w:rPr>
                <w:bCs/>
              </w:rPr>
            </w:pPr>
            <w:r w:rsidRPr="00CA0CCB">
              <w:rPr>
                <w:bCs/>
              </w:rPr>
              <w:t>2019: nessuna rotazione straordinaria necessaria</w:t>
            </w:r>
          </w:p>
          <w:p w:rsidR="00CA0CCB" w:rsidRDefault="00CA0CCB" w:rsidP="009E35E4">
            <w:pPr>
              <w:rPr>
                <w:bCs/>
              </w:rPr>
            </w:pPr>
            <w:r>
              <w:rPr>
                <w:bCs/>
              </w:rPr>
              <w:t>2020: nessuna rotazione straordinaria necessaria</w:t>
            </w:r>
          </w:p>
          <w:p w:rsidR="00313E49" w:rsidRDefault="00313E49" w:rsidP="009E35E4">
            <w:pPr>
              <w:rPr>
                <w:bCs/>
              </w:rPr>
            </w:pPr>
            <w:r>
              <w:rPr>
                <w:bCs/>
              </w:rPr>
              <w:t xml:space="preserve">2021: effettuate rotazioni per esternalizzazione procedure operative a seguito assenze </w:t>
            </w:r>
            <w:r>
              <w:rPr>
                <w:bCs/>
              </w:rPr>
              <w:lastRenderedPageBreak/>
              <w:t>dipendenti, nessuna rotazione straordinaria necessaria</w:t>
            </w:r>
            <w:r w:rsidR="005E75DF">
              <w:rPr>
                <w:bCs/>
              </w:rPr>
              <w:t>.</w:t>
            </w:r>
          </w:p>
          <w:p w:rsidR="005E75DF" w:rsidRPr="00CA0CCB" w:rsidRDefault="005E75DF" w:rsidP="009E35E4">
            <w:pPr>
              <w:rPr>
                <w:bCs/>
              </w:rPr>
            </w:pPr>
            <w:r>
              <w:rPr>
                <w:bCs/>
              </w:rPr>
              <w:t>2021:</w:t>
            </w:r>
            <w:r w:rsidR="00D857F5">
              <w:rPr>
                <w:bCs/>
              </w:rPr>
              <w:t xml:space="preserve">rotazione di </w:t>
            </w:r>
            <w:r w:rsidRPr="00D857F5">
              <w:rPr>
                <w:bCs/>
              </w:rPr>
              <w:t>tre Direttori di Farmacia</w:t>
            </w:r>
          </w:p>
        </w:tc>
      </w:tr>
    </w:tbl>
    <w:p w:rsidR="00081638" w:rsidRDefault="00081638" w:rsidP="00081638"/>
    <w:p w:rsidR="00917163" w:rsidRPr="008F710D" w:rsidRDefault="00C728EC" w:rsidP="004E614E">
      <w:pPr>
        <w:pStyle w:val="Titolo3"/>
      </w:pPr>
      <w:bookmarkStart w:id="177" w:name="_Toc28966903"/>
      <w:bookmarkStart w:id="178" w:name="_Toc28967123"/>
      <w:bookmarkStart w:id="179" w:name="_Toc28967376"/>
      <w:bookmarkStart w:id="180" w:name="_Toc101602038"/>
      <w:r w:rsidRPr="008F710D">
        <w:t xml:space="preserve">C. </w:t>
      </w:r>
      <w:proofErr w:type="spellStart"/>
      <w:r w:rsidRPr="008F710D">
        <w:t>Inconferibilità</w:t>
      </w:r>
      <w:proofErr w:type="spellEnd"/>
      <w:r w:rsidRPr="008F710D">
        <w:t xml:space="preserve"> - incompatibilità - incarichi extraistituzionali</w:t>
      </w:r>
      <w:bookmarkEnd w:id="177"/>
      <w:bookmarkEnd w:id="178"/>
      <w:bookmarkEnd w:id="179"/>
      <w:bookmarkEnd w:id="180"/>
    </w:p>
    <w:p w:rsidR="00E50E41" w:rsidRPr="00B67FEC" w:rsidRDefault="00E50E41" w:rsidP="0049154B">
      <w:pPr>
        <w:rPr>
          <w:rFonts w:cs="Calibri"/>
          <w:b/>
        </w:rPr>
      </w:pPr>
      <w:bookmarkStart w:id="181" w:name="_Toc28881641"/>
      <w:bookmarkStart w:id="182" w:name="_Toc28881640"/>
      <w:r w:rsidRPr="00B67FEC">
        <w:rPr>
          <w:rFonts w:cs="Calibri"/>
          <w:b/>
        </w:rPr>
        <w:t>Descrizione della misura</w:t>
      </w:r>
    </w:p>
    <w:p w:rsidR="00917163" w:rsidRPr="00B67FEC" w:rsidRDefault="00917163" w:rsidP="0049154B">
      <w:pPr>
        <w:rPr>
          <w:rFonts w:cs="Calibri"/>
          <w:b/>
          <w:bCs/>
        </w:rPr>
      </w:pPr>
      <w:proofErr w:type="spellStart"/>
      <w:r w:rsidRPr="00B67FEC">
        <w:rPr>
          <w:rFonts w:cs="Calibri"/>
          <w:b/>
        </w:rPr>
        <w:t>Inconferibilità</w:t>
      </w:r>
      <w:proofErr w:type="spellEnd"/>
      <w:r w:rsidRPr="00B67FEC">
        <w:rPr>
          <w:rFonts w:cs="Calibri"/>
          <w:b/>
        </w:rPr>
        <w:t xml:space="preserve"> e incompatibilità </w:t>
      </w:r>
      <w:r w:rsidR="006C1A37" w:rsidRPr="00B67FEC">
        <w:rPr>
          <w:rFonts w:cs="Calibri"/>
          <w:b/>
        </w:rPr>
        <w:t>AU</w:t>
      </w:r>
      <w:r w:rsidRPr="00B67FEC">
        <w:rPr>
          <w:rFonts w:cs="Calibri"/>
          <w:b/>
        </w:rPr>
        <w:t xml:space="preserve"> (o similari)</w:t>
      </w:r>
      <w:bookmarkEnd w:id="181"/>
    </w:p>
    <w:p w:rsidR="00917163" w:rsidRPr="00B67FEC" w:rsidRDefault="00917163" w:rsidP="0049154B">
      <w:pPr>
        <w:rPr>
          <w:rFonts w:eastAsia="MS Mincho" w:cs="Calibri"/>
          <w:szCs w:val="20"/>
          <w:lang w:eastAsia="ja-JP"/>
        </w:rPr>
      </w:pPr>
      <w:r w:rsidRPr="00B67FEC">
        <w:rPr>
          <w:rFonts w:eastAsia="MS Mincho" w:cs="Calibri"/>
          <w:szCs w:val="20"/>
          <w:lang w:eastAsia="ja-JP"/>
        </w:rPr>
        <w:t>Il decreto legislativo 39/2013 ha attuato la delega stabilita dai commi 49 e 50 dell’art. 1 della legge 190/2012, prevedendo fattispecie di:</w:t>
      </w:r>
    </w:p>
    <w:p w:rsidR="00917163" w:rsidRPr="00B67FEC" w:rsidRDefault="00917163" w:rsidP="00B67FEC">
      <w:pPr>
        <w:numPr>
          <w:ilvl w:val="0"/>
          <w:numId w:val="14"/>
        </w:numPr>
        <w:rPr>
          <w:rFonts w:eastAsia="MS Mincho" w:cs="Calibri"/>
          <w:szCs w:val="20"/>
          <w:lang w:eastAsia="ja-JP"/>
        </w:rPr>
      </w:pPr>
      <w:proofErr w:type="spellStart"/>
      <w:r w:rsidRPr="00B67FEC">
        <w:rPr>
          <w:rFonts w:eastAsia="MS Mincho" w:cs="Calibri"/>
          <w:b/>
          <w:szCs w:val="20"/>
          <w:lang w:eastAsia="ja-JP"/>
        </w:rPr>
        <w:t>inconferibilità</w:t>
      </w:r>
      <w:proofErr w:type="spellEnd"/>
      <w:r w:rsidRPr="00B67FEC">
        <w:rPr>
          <w:rFonts w:eastAsia="MS Mincho" w:cs="Calibri"/>
          <w:szCs w:val="20"/>
          <w:lang w:eastAsia="ja-JP"/>
        </w:rPr>
        <w:t>, cioè di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a coloro che siano stati componenti di organi di indirizzo politico (art. 1, comma 2, lett. g);</w:t>
      </w:r>
    </w:p>
    <w:p w:rsidR="00917163" w:rsidRPr="00B67FEC" w:rsidRDefault="00917163" w:rsidP="00B67FEC">
      <w:pPr>
        <w:numPr>
          <w:ilvl w:val="0"/>
          <w:numId w:val="14"/>
        </w:numPr>
        <w:rPr>
          <w:rFonts w:eastAsia="MS Mincho" w:cs="Calibri"/>
          <w:szCs w:val="20"/>
          <w:lang w:eastAsia="ja-JP"/>
        </w:rPr>
      </w:pPr>
      <w:r w:rsidRPr="00B67FEC">
        <w:rPr>
          <w:rFonts w:eastAsia="MS Mincho" w:cs="Calibri"/>
          <w:b/>
          <w:szCs w:val="20"/>
          <w:lang w:eastAsia="ja-JP"/>
        </w:rPr>
        <w:t>incompatibilità</w:t>
      </w:r>
      <w:r w:rsidRPr="00B67FEC">
        <w:rPr>
          <w:rFonts w:eastAsia="MS Mincho" w:cs="Calibri"/>
          <w:szCs w:val="20"/>
          <w:lang w:eastAsia="ja-JP"/>
        </w:rPr>
        <w:t>, da cui consegue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comma 2, lett. h).</w:t>
      </w:r>
    </w:p>
    <w:p w:rsidR="00081638" w:rsidRDefault="00081638" w:rsidP="0049154B">
      <w:pPr>
        <w:rPr>
          <w:rFonts w:eastAsia="MS Mincho" w:cs="Calibri"/>
          <w:szCs w:val="20"/>
          <w:lang w:eastAsia="ja-JP"/>
        </w:rPr>
      </w:pPr>
      <w:r>
        <w:rPr>
          <w:rFonts w:eastAsia="MS Mincho" w:cs="Calibri"/>
          <w:szCs w:val="20"/>
          <w:lang w:eastAsia="ja-JP"/>
        </w:rPr>
        <w:t>Dalla LG 1134/2017:</w:t>
      </w:r>
    </w:p>
    <w:p w:rsidR="003B0201" w:rsidRDefault="003B0201" w:rsidP="0049154B">
      <w:pPr>
        <w:rPr>
          <w:rFonts w:eastAsia="MS Mincho" w:cs="Calibri"/>
          <w:i/>
          <w:szCs w:val="20"/>
          <w:lang w:eastAsia="ja-JP"/>
        </w:rPr>
      </w:pPr>
      <w:proofErr w:type="spellStart"/>
      <w:r w:rsidRPr="009E35E4">
        <w:rPr>
          <w:rFonts w:eastAsia="MS Mincho" w:cs="Calibri"/>
          <w:b/>
          <w:i/>
          <w:szCs w:val="20"/>
          <w:lang w:eastAsia="ja-JP"/>
        </w:rPr>
        <w:t>Inconferibilità</w:t>
      </w:r>
      <w:proofErr w:type="spellEnd"/>
      <w:r>
        <w:rPr>
          <w:rFonts w:eastAsia="MS Mincho" w:cs="Calibri"/>
          <w:i/>
          <w:szCs w:val="20"/>
          <w:lang w:eastAsia="ja-JP"/>
        </w:rPr>
        <w:t>: n</w:t>
      </w:r>
      <w:r w:rsidRPr="003B0201">
        <w:rPr>
          <w:rFonts w:eastAsia="MS Mincho" w:cs="Calibri"/>
          <w:i/>
          <w:szCs w:val="20"/>
          <w:lang w:eastAsia="ja-JP"/>
        </w:rPr>
        <w:t xml:space="preserve">el caso di nomina degli amministratori proposta o effettuata dalle p.a. controllanti, le verifiche sulle </w:t>
      </w:r>
      <w:proofErr w:type="spellStart"/>
      <w:r w:rsidRPr="003B0201">
        <w:rPr>
          <w:rFonts w:eastAsia="MS Mincho" w:cs="Calibri"/>
          <w:i/>
          <w:szCs w:val="20"/>
          <w:lang w:eastAsia="ja-JP"/>
        </w:rPr>
        <w:t>inconferibilità</w:t>
      </w:r>
      <w:proofErr w:type="spellEnd"/>
      <w:r w:rsidRPr="003B0201">
        <w:rPr>
          <w:rFonts w:eastAsia="MS Mincho" w:cs="Calibri"/>
          <w:i/>
          <w:szCs w:val="20"/>
          <w:lang w:eastAsia="ja-JP"/>
        </w:rPr>
        <w:t xml:space="preserve"> sono svolte Palle medesime p.a.</w:t>
      </w:r>
    </w:p>
    <w:p w:rsidR="003B0201" w:rsidRDefault="003B0201" w:rsidP="003B0201">
      <w:pPr>
        <w:rPr>
          <w:rFonts w:eastAsia="MS Mincho" w:cs="Calibri"/>
          <w:szCs w:val="20"/>
          <w:lang w:eastAsia="ja-JP"/>
        </w:rPr>
      </w:pPr>
      <w:r>
        <w:rPr>
          <w:rFonts w:eastAsia="MS Mincho" w:cs="Calibri"/>
          <w:szCs w:val="20"/>
          <w:lang w:eastAsia="ja-JP"/>
        </w:rPr>
        <w:t xml:space="preserve">L’AU in </w:t>
      </w:r>
      <w:r w:rsidR="00EC0950">
        <w:rPr>
          <w:rFonts w:eastAsia="MS Mincho" w:cs="Calibri"/>
          <w:szCs w:val="20"/>
          <w:lang w:eastAsia="ja-JP"/>
        </w:rPr>
        <w:t>Segrate Servizi Srl</w:t>
      </w:r>
      <w:r>
        <w:rPr>
          <w:rFonts w:eastAsia="MS Mincho" w:cs="Calibri"/>
          <w:szCs w:val="20"/>
          <w:lang w:eastAsia="ja-JP"/>
        </w:rPr>
        <w:t xml:space="preserve"> è nominato direttamente dal Comune, che si occupa della verifica assenza cause di </w:t>
      </w:r>
      <w:proofErr w:type="spellStart"/>
      <w:r>
        <w:rPr>
          <w:rFonts w:eastAsia="MS Mincho" w:cs="Calibri"/>
          <w:szCs w:val="20"/>
          <w:lang w:eastAsia="ja-JP"/>
        </w:rPr>
        <w:t>inconferibilità</w:t>
      </w:r>
      <w:proofErr w:type="spellEnd"/>
      <w:r>
        <w:rPr>
          <w:rFonts w:eastAsia="MS Mincho" w:cs="Calibri"/>
          <w:szCs w:val="20"/>
          <w:lang w:eastAsia="ja-JP"/>
        </w:rPr>
        <w:t xml:space="preserve"> incarico. Non sono inoltre previste particolari figure dirigenziali, per cui la misura trova applicazione solo sull’AU.</w:t>
      </w:r>
    </w:p>
    <w:p w:rsidR="00081638" w:rsidRPr="00081638" w:rsidRDefault="00081638" w:rsidP="0049154B">
      <w:pPr>
        <w:rPr>
          <w:rFonts w:eastAsia="MS Mincho" w:cs="Calibri"/>
          <w:i/>
          <w:szCs w:val="20"/>
          <w:lang w:eastAsia="ja-JP"/>
        </w:rPr>
      </w:pPr>
      <w:r w:rsidRPr="009E35E4">
        <w:rPr>
          <w:rFonts w:eastAsia="MS Mincho" w:cs="Calibri"/>
          <w:b/>
          <w:i/>
          <w:szCs w:val="20"/>
          <w:lang w:eastAsia="ja-JP"/>
        </w:rPr>
        <w:t>Incompatibilità</w:t>
      </w:r>
      <w:r w:rsidRPr="00081638">
        <w:rPr>
          <w:rFonts w:eastAsia="MS Mincho" w:cs="Calibri"/>
          <w:i/>
          <w:szCs w:val="20"/>
          <w:lang w:eastAsia="ja-JP"/>
        </w:rPr>
        <w:t xml:space="preserve"> specifiche per gli incarichi di amministratore e</w:t>
      </w:r>
      <w:r w:rsidR="00DF7EBA">
        <w:rPr>
          <w:rFonts w:eastAsia="MS Mincho" w:cs="Calibri"/>
          <w:i/>
          <w:szCs w:val="20"/>
          <w:lang w:eastAsia="ja-JP"/>
        </w:rPr>
        <w:t xml:space="preserve"> per gli incarichi dirigenziali.</w:t>
      </w:r>
    </w:p>
    <w:p w:rsidR="00081638" w:rsidRDefault="00081638" w:rsidP="0049154B">
      <w:pPr>
        <w:rPr>
          <w:rFonts w:eastAsia="MS Mincho" w:cs="Calibri"/>
          <w:i/>
          <w:szCs w:val="20"/>
          <w:lang w:eastAsia="ja-JP"/>
        </w:rPr>
      </w:pPr>
      <w:r w:rsidRPr="00081638">
        <w:rPr>
          <w:rFonts w:eastAsia="MS Mincho" w:cs="Calibri"/>
          <w:i/>
          <w:szCs w:val="20"/>
          <w:lang w:eastAsia="ja-JP"/>
        </w:rPr>
        <w:t xml:space="preserve">All'interno delle società è necessario sia previsto un sistema di verifica della sussistenza di eventuali situazioni di incompatibilità nei confronti dei titolari degli incarichi di amministratore, come definiti dall'art. 1, </w:t>
      </w:r>
      <w:proofErr w:type="spellStart"/>
      <w:r w:rsidRPr="00081638">
        <w:rPr>
          <w:rFonts w:eastAsia="MS Mincho" w:cs="Calibri"/>
          <w:i/>
          <w:szCs w:val="20"/>
          <w:lang w:eastAsia="ja-JP"/>
        </w:rPr>
        <w:t>co</w:t>
      </w:r>
      <w:proofErr w:type="spellEnd"/>
      <w:r w:rsidRPr="00081638">
        <w:rPr>
          <w:rFonts w:eastAsia="MS Mincho" w:cs="Calibri"/>
          <w:i/>
          <w:szCs w:val="20"/>
          <w:lang w:eastAsia="ja-JP"/>
        </w:rPr>
        <w:t xml:space="preserve">. 2, lett. 1). </w:t>
      </w:r>
    </w:p>
    <w:p w:rsidR="00081638" w:rsidRDefault="00081638" w:rsidP="0049154B">
      <w:pPr>
        <w:rPr>
          <w:rFonts w:eastAsia="MS Mincho" w:cs="Calibri"/>
          <w:i/>
          <w:szCs w:val="20"/>
          <w:lang w:eastAsia="ja-JP"/>
        </w:rPr>
      </w:pPr>
      <w:r w:rsidRPr="00081638">
        <w:rPr>
          <w:rFonts w:eastAsia="MS Mincho" w:cs="Calibri"/>
          <w:i/>
          <w:szCs w:val="20"/>
          <w:lang w:eastAsia="ja-JP"/>
        </w:rPr>
        <w:t>Le situazioni di incompatibilità per gli amministratori sono quelle indicate, in particolare, dalle seguenti disposizioni del d.lgs. n. 39/2013:</w:t>
      </w:r>
    </w:p>
    <w:p w:rsidR="00081638" w:rsidRDefault="00081638" w:rsidP="0049154B">
      <w:pPr>
        <w:rPr>
          <w:rFonts w:eastAsia="MS Mincho" w:cs="Calibri"/>
          <w:i/>
          <w:szCs w:val="20"/>
          <w:lang w:eastAsia="ja-JP"/>
        </w:rPr>
      </w:pPr>
      <w:r w:rsidRPr="00081638">
        <w:rPr>
          <w:rFonts w:eastAsia="MS Mincho" w:cs="Calibri"/>
          <w:i/>
          <w:szCs w:val="20"/>
          <w:lang w:eastAsia="ja-JP"/>
        </w:rPr>
        <w:t>- art. 9, riguardante le "incompatibilità tra incarichi e cariche in enti di diritto privato regolati o finanziati, nonché tra gli stessi incarichi e le attività professionali" e, in particolare, il co</w:t>
      </w:r>
      <w:r>
        <w:rPr>
          <w:rFonts w:eastAsia="MS Mincho" w:cs="Calibri"/>
          <w:i/>
          <w:szCs w:val="20"/>
          <w:lang w:eastAsia="ja-JP"/>
        </w:rPr>
        <w:t>mma 2;</w:t>
      </w:r>
    </w:p>
    <w:p w:rsidR="00081638" w:rsidRDefault="00081638" w:rsidP="0049154B">
      <w:pPr>
        <w:rPr>
          <w:rFonts w:eastAsia="MS Mincho" w:cs="Calibri"/>
          <w:i/>
          <w:szCs w:val="20"/>
          <w:lang w:eastAsia="ja-JP"/>
        </w:rPr>
      </w:pPr>
      <w:r w:rsidRPr="00081638">
        <w:rPr>
          <w:rFonts w:eastAsia="MS Mincho" w:cs="Calibri"/>
          <w:i/>
          <w:szCs w:val="20"/>
          <w:lang w:eastAsia="ja-JP"/>
        </w:rPr>
        <w:t xml:space="preserve">- art. 11, relativo a "incompatibilità tra incarichi amministrativi di vertice e di amministratore di ente pubblico e cariche di componenti degli organi di indirizzo nelle amministrazioni statali, regionali e locali" </w:t>
      </w:r>
      <w:r>
        <w:rPr>
          <w:rFonts w:eastAsia="MS Mincho" w:cs="Calibri"/>
          <w:i/>
          <w:szCs w:val="20"/>
          <w:lang w:eastAsia="ja-JP"/>
        </w:rPr>
        <w:t>ed in particolare i comma 2 e 3</w:t>
      </w:r>
    </w:p>
    <w:p w:rsidR="00081638" w:rsidRDefault="00081638" w:rsidP="0049154B">
      <w:pPr>
        <w:rPr>
          <w:rFonts w:eastAsia="MS Mincho" w:cs="Calibri"/>
          <w:i/>
          <w:szCs w:val="20"/>
          <w:lang w:eastAsia="ja-JP"/>
        </w:rPr>
      </w:pPr>
      <w:r w:rsidRPr="00081638">
        <w:rPr>
          <w:rFonts w:eastAsia="MS Mincho" w:cs="Calibri"/>
          <w:i/>
          <w:szCs w:val="20"/>
          <w:lang w:eastAsia="ja-JP"/>
        </w:rPr>
        <w:t xml:space="preserve"> - art. 13, recante "incompatibilità tra incarichi di amministratore di ente di diritto privato in controllo pubblico e cariche di componenti degli organi di indirizzo politico nelle amministrazion</w:t>
      </w:r>
      <w:r>
        <w:rPr>
          <w:rFonts w:eastAsia="MS Mincho" w:cs="Calibri"/>
          <w:i/>
          <w:szCs w:val="20"/>
          <w:lang w:eastAsia="ja-JP"/>
        </w:rPr>
        <w:t>i statali, regionali e locali";</w:t>
      </w:r>
    </w:p>
    <w:p w:rsidR="003B0201" w:rsidRPr="003B0201" w:rsidRDefault="003B0201" w:rsidP="0049154B">
      <w:pPr>
        <w:rPr>
          <w:rFonts w:eastAsia="MS Mincho" w:cs="Calibri"/>
          <w:i/>
          <w:szCs w:val="20"/>
          <w:lang w:eastAsia="ja-JP"/>
        </w:rPr>
      </w:pPr>
      <w:r w:rsidRPr="003B0201">
        <w:rPr>
          <w:rFonts w:eastAsia="MS Mincho" w:cs="Calibri"/>
          <w:i/>
          <w:szCs w:val="20"/>
          <w:lang w:eastAsia="ja-JP"/>
        </w:rPr>
        <w:t xml:space="preserve">A queste ipotesi di incompatibilità si aggiunge quella prevista dall'art. 11, </w:t>
      </w:r>
      <w:proofErr w:type="spellStart"/>
      <w:r w:rsidRPr="003B0201">
        <w:rPr>
          <w:rFonts w:eastAsia="MS Mincho" w:cs="Calibri"/>
          <w:i/>
          <w:szCs w:val="20"/>
          <w:lang w:eastAsia="ja-JP"/>
        </w:rPr>
        <w:t>co</w:t>
      </w:r>
      <w:proofErr w:type="spellEnd"/>
      <w:r w:rsidRPr="003B0201">
        <w:rPr>
          <w:rFonts w:eastAsia="MS Mincho" w:cs="Calibri"/>
          <w:i/>
          <w:szCs w:val="20"/>
          <w:lang w:eastAsia="ja-JP"/>
        </w:rPr>
        <w:t xml:space="preserve">. 8, del d.lgs. 175/2016, ai sensi del quale «Gli amministratori delle società a controllo pubblico non possono essere dipendenti delle amministrazioni pubbliche controllanti o vigilanti. Qualora siano dipendenti della società controllante, in virtù del principio di onnicomprensività </w:t>
      </w:r>
      <w:r w:rsidRPr="003B0201">
        <w:rPr>
          <w:rFonts w:eastAsia="MS Mincho" w:cs="Calibri"/>
          <w:i/>
          <w:szCs w:val="20"/>
          <w:lang w:eastAsia="ja-JP"/>
        </w:rPr>
        <w:lastRenderedPageBreak/>
        <w:t>della retribuzione, fatto salvo il diritto alla copertura assicurativa e al rimborso delle spese documentate, nel rispetto del limite di spesa di cui al comma 6, essi hanno l'obbligo di riversare i relativi compensi alla società di appartenenza. Dall'applicazione del presente comma non possono derivare aumenti della spesa complessiva per i compensi degli amministratori».</w:t>
      </w:r>
    </w:p>
    <w:p w:rsidR="00081638" w:rsidRDefault="00081638" w:rsidP="0049154B">
      <w:pPr>
        <w:rPr>
          <w:rFonts w:eastAsia="MS Mincho" w:cs="Calibri"/>
          <w:szCs w:val="20"/>
          <w:lang w:eastAsia="ja-JP"/>
        </w:rPr>
      </w:pPr>
      <w:r>
        <w:rPr>
          <w:rFonts w:eastAsia="MS Mincho" w:cs="Calibri"/>
          <w:szCs w:val="20"/>
          <w:lang w:eastAsia="ja-JP"/>
        </w:rPr>
        <w:t xml:space="preserve">In </w:t>
      </w:r>
      <w:r w:rsidR="00EC0950">
        <w:rPr>
          <w:rFonts w:eastAsia="MS Mincho" w:cs="Calibri"/>
          <w:szCs w:val="20"/>
          <w:lang w:eastAsia="ja-JP"/>
        </w:rPr>
        <w:t>Segrate Servizi Srl</w:t>
      </w:r>
      <w:r>
        <w:rPr>
          <w:rFonts w:eastAsia="MS Mincho" w:cs="Calibri"/>
          <w:szCs w:val="20"/>
          <w:lang w:eastAsia="ja-JP"/>
        </w:rPr>
        <w:t xml:space="preserve"> non sono previste particolari figure dirigenziali, per cui la misura trova applicazione solo sull’AU.</w:t>
      </w:r>
    </w:p>
    <w:p w:rsidR="00CA0CCB" w:rsidRDefault="00CA0CCB" w:rsidP="00313E49">
      <w:pPr>
        <w:rPr>
          <w:rFonts w:eastAsia="MS Mincho"/>
          <w:szCs w:val="20"/>
          <w:lang w:eastAsia="ja-JP"/>
        </w:rPr>
      </w:pPr>
      <w:r w:rsidRPr="00313E49">
        <w:rPr>
          <w:rFonts w:eastAsia="MS Mincho"/>
          <w:szCs w:val="20"/>
          <w:lang w:eastAsia="ja-JP"/>
        </w:rPr>
        <w:t xml:space="preserve">A tali fini, si utilizzerà l’apposito modello allegato “3. Dichiarazione assenza cause </w:t>
      </w:r>
      <w:proofErr w:type="spellStart"/>
      <w:r w:rsidRPr="00313E49">
        <w:rPr>
          <w:rFonts w:eastAsia="MS Mincho"/>
          <w:szCs w:val="20"/>
          <w:lang w:eastAsia="ja-JP"/>
        </w:rPr>
        <w:t>inconferibilità</w:t>
      </w:r>
      <w:proofErr w:type="spellEnd"/>
      <w:r w:rsidRPr="00313E49">
        <w:rPr>
          <w:rFonts w:eastAsia="MS Mincho"/>
          <w:szCs w:val="20"/>
          <w:lang w:eastAsia="ja-JP"/>
        </w:rPr>
        <w:t xml:space="preserve"> e incompatibilità” annualmente per il solo AU.</w:t>
      </w:r>
    </w:p>
    <w:p w:rsidR="009E35E4" w:rsidRDefault="009E35E4" w:rsidP="0049154B">
      <w:pPr>
        <w:rPr>
          <w:rFonts w:eastAsia="MS Mincho" w:cs="Calibri"/>
          <w:szCs w:val="20"/>
          <w:lang w:eastAsia="ja-JP"/>
        </w:rPr>
      </w:pPr>
    </w:p>
    <w:p w:rsidR="00917163" w:rsidRPr="00B67FEC" w:rsidRDefault="006C1A37" w:rsidP="0049154B">
      <w:pPr>
        <w:rPr>
          <w:rFonts w:cs="Calibri"/>
          <w:szCs w:val="20"/>
        </w:rPr>
      </w:pPr>
      <w:r w:rsidRPr="00B67FEC">
        <w:rPr>
          <w:rFonts w:eastAsia="MS Mincho" w:cs="Calibri"/>
          <w:szCs w:val="20"/>
          <w:lang w:eastAsia="ja-JP"/>
        </w:rPr>
        <w:t xml:space="preserve">Eventuali </w:t>
      </w:r>
      <w:r w:rsidR="00917163" w:rsidRPr="00B67FEC">
        <w:rPr>
          <w:rFonts w:eastAsia="MS Mincho" w:cs="Calibri"/>
          <w:szCs w:val="20"/>
          <w:lang w:eastAsia="ja-JP"/>
        </w:rPr>
        <w:t xml:space="preserve">nomine e designazioni preordinate al conferimento di </w:t>
      </w:r>
      <w:r w:rsidR="00917163" w:rsidRPr="009E35E4">
        <w:rPr>
          <w:rFonts w:eastAsia="MS Mincho" w:cs="Calibri"/>
          <w:b/>
          <w:szCs w:val="20"/>
          <w:lang w:eastAsia="ja-JP"/>
        </w:rPr>
        <w:t>incarichi</w:t>
      </w:r>
      <w:r w:rsidR="00CA0CCB">
        <w:rPr>
          <w:rFonts w:eastAsia="MS Mincho" w:cs="Calibri"/>
          <w:b/>
          <w:szCs w:val="20"/>
          <w:lang w:eastAsia="ja-JP"/>
        </w:rPr>
        <w:t xml:space="preserve"> diversi dalle prestazioni professionali o l’erogazione di servizi (unica fattispecie al momento è l’</w:t>
      </w:r>
      <w:proofErr w:type="spellStart"/>
      <w:r w:rsidR="00CA0CCB">
        <w:rPr>
          <w:rFonts w:eastAsia="MS Mincho" w:cs="Calibri"/>
          <w:b/>
          <w:szCs w:val="20"/>
          <w:lang w:eastAsia="ja-JP"/>
        </w:rPr>
        <w:t>OdV</w:t>
      </w:r>
      <w:proofErr w:type="spellEnd"/>
      <w:r w:rsidR="00CA0CCB">
        <w:rPr>
          <w:rFonts w:eastAsia="MS Mincho" w:cs="Calibri"/>
          <w:b/>
          <w:szCs w:val="20"/>
          <w:lang w:eastAsia="ja-JP"/>
        </w:rPr>
        <w:t xml:space="preserve"> 231)</w:t>
      </w:r>
      <w:r w:rsidR="00917163" w:rsidRPr="00B67FEC">
        <w:rPr>
          <w:rFonts w:eastAsia="MS Mincho" w:cs="Calibri"/>
          <w:szCs w:val="20"/>
          <w:lang w:eastAsia="ja-JP"/>
        </w:rPr>
        <w:t xml:space="preserve"> da parte </w:t>
      </w:r>
      <w:r w:rsidRPr="00B67FEC">
        <w:rPr>
          <w:rFonts w:eastAsia="MS Mincho" w:cs="Calibri"/>
          <w:szCs w:val="20"/>
          <w:lang w:eastAsia="ja-JP"/>
        </w:rPr>
        <w:t xml:space="preserve">di </w:t>
      </w:r>
      <w:r w:rsidR="00EC0950">
        <w:rPr>
          <w:rFonts w:eastAsia="MS Mincho" w:cs="Calibri"/>
          <w:szCs w:val="20"/>
          <w:lang w:eastAsia="ja-JP"/>
        </w:rPr>
        <w:t>Segrate Servizi Srl</w:t>
      </w:r>
      <w:r w:rsidR="00391BAE" w:rsidRPr="00B67FEC">
        <w:rPr>
          <w:rFonts w:eastAsia="MS Mincho" w:cs="Calibri"/>
          <w:szCs w:val="20"/>
          <w:lang w:eastAsia="ja-JP"/>
        </w:rPr>
        <w:t xml:space="preserve"> </w:t>
      </w:r>
      <w:r w:rsidR="00917163" w:rsidRPr="00B67FEC">
        <w:rPr>
          <w:rFonts w:eastAsia="MS Mincho" w:cs="Calibri"/>
          <w:szCs w:val="20"/>
          <w:lang w:eastAsia="ja-JP"/>
        </w:rPr>
        <w:t xml:space="preserve">devono essere precedute da apposita dichiarazione sostitutiva del designato o del nominato, della quale in ragione del contenuto dell’incarico deve essere asserita l’insussistenza di cause o titoli al suo conferimento. Il titolare dell’incarico deve redigere apposita dichiarazione con cadenza annuale di insussistenza di causa di incompatibilità al mantenimento dell’incarico conferito. Tali dichiarazioni sono pubblicate sul sito istituzionale </w:t>
      </w:r>
      <w:r w:rsidR="00520C5E" w:rsidRPr="00B67FEC">
        <w:rPr>
          <w:rFonts w:eastAsia="MS Mincho" w:cs="Calibri"/>
          <w:szCs w:val="20"/>
          <w:lang w:eastAsia="ja-JP"/>
        </w:rPr>
        <w:t xml:space="preserve">della </w:t>
      </w:r>
      <w:r w:rsidR="00F902C5" w:rsidRPr="00B67FEC">
        <w:rPr>
          <w:rFonts w:eastAsia="MS Mincho" w:cs="Calibri"/>
          <w:szCs w:val="20"/>
          <w:lang w:eastAsia="ja-JP"/>
        </w:rPr>
        <w:t>Società</w:t>
      </w:r>
      <w:r w:rsidR="00917163" w:rsidRPr="00B67FEC">
        <w:rPr>
          <w:rFonts w:eastAsia="MS Mincho" w:cs="Calibri"/>
          <w:szCs w:val="20"/>
          <w:lang w:eastAsia="ja-JP"/>
        </w:rPr>
        <w:t>, nell’apposita sezione “</w:t>
      </w:r>
      <w:r w:rsidRPr="00B67FEC">
        <w:rPr>
          <w:rFonts w:eastAsia="MS Mincho" w:cs="Calibri"/>
          <w:szCs w:val="20"/>
          <w:lang w:eastAsia="ja-JP"/>
        </w:rPr>
        <w:t>Società</w:t>
      </w:r>
      <w:r w:rsidR="00917163" w:rsidRPr="00B67FEC">
        <w:rPr>
          <w:rFonts w:eastAsia="MS Mincho" w:cs="Calibri"/>
          <w:szCs w:val="20"/>
          <w:lang w:eastAsia="ja-JP"/>
        </w:rPr>
        <w:t xml:space="preserve"> Trasparente”.</w:t>
      </w:r>
      <w:r w:rsidR="009E35E4">
        <w:rPr>
          <w:rFonts w:eastAsia="MS Mincho" w:cs="Calibri"/>
          <w:szCs w:val="20"/>
          <w:lang w:eastAsia="ja-JP"/>
        </w:rPr>
        <w:t xml:space="preserve"> </w:t>
      </w:r>
      <w:r w:rsidR="00917163" w:rsidRPr="00B67FEC">
        <w:rPr>
          <w:rFonts w:eastAsia="MS Mincho" w:cs="Calibri"/>
          <w:szCs w:val="20"/>
          <w:lang w:eastAsia="ja-JP"/>
        </w:rPr>
        <w:t xml:space="preserve">Per quanto attiene il controllo della veridicità di tali dichiarazioni, </w:t>
      </w:r>
      <w:r w:rsidR="00EC0950">
        <w:rPr>
          <w:rFonts w:cs="Calibri"/>
          <w:szCs w:val="20"/>
        </w:rPr>
        <w:t>Segrate Servizi Srl</w:t>
      </w:r>
      <w:r w:rsidRPr="00B67FEC">
        <w:rPr>
          <w:rFonts w:cs="Calibri"/>
          <w:szCs w:val="20"/>
        </w:rPr>
        <w:t xml:space="preserve"> procederà</w:t>
      </w:r>
      <w:r w:rsidR="00917163" w:rsidRPr="00B67FEC">
        <w:rPr>
          <w:rFonts w:cs="Calibri"/>
          <w:szCs w:val="20"/>
        </w:rPr>
        <w:t xml:space="preserve"> a </w:t>
      </w:r>
      <w:r w:rsidRPr="00B67FEC">
        <w:rPr>
          <w:rFonts w:cs="Calibri"/>
          <w:szCs w:val="20"/>
        </w:rPr>
        <w:t xml:space="preserve">valutare l’opportunità di </w:t>
      </w:r>
      <w:r w:rsidR="00917163" w:rsidRPr="00B67FEC">
        <w:rPr>
          <w:rFonts w:cs="Calibri"/>
          <w:szCs w:val="20"/>
        </w:rPr>
        <w:t xml:space="preserve">richiedere il </w:t>
      </w:r>
      <w:r w:rsidRPr="00B67FEC">
        <w:rPr>
          <w:rFonts w:cs="Calibri"/>
          <w:szCs w:val="20"/>
        </w:rPr>
        <w:t xml:space="preserve">casellario giudiziario e il </w:t>
      </w:r>
      <w:r w:rsidR="00917163" w:rsidRPr="00B67FEC">
        <w:rPr>
          <w:rFonts w:cs="Calibri"/>
          <w:szCs w:val="20"/>
        </w:rPr>
        <w:t>certificato caric</w:t>
      </w:r>
      <w:r w:rsidR="00E50E41" w:rsidRPr="00B67FEC">
        <w:rPr>
          <w:rFonts w:cs="Calibri"/>
          <w:szCs w:val="20"/>
        </w:rPr>
        <w:t>hi pendenti degli incaricati</w:t>
      </w:r>
      <w:r w:rsidR="00917163" w:rsidRPr="00B67FEC">
        <w:rPr>
          <w:rFonts w:cs="Calibri"/>
          <w:szCs w:val="20"/>
        </w:rPr>
        <w:t>.</w:t>
      </w:r>
    </w:p>
    <w:p w:rsidR="00917163" w:rsidRPr="00B67FEC" w:rsidRDefault="00917163" w:rsidP="0049154B">
      <w:pPr>
        <w:rPr>
          <w:rFonts w:eastAsia="MS Mincho" w:cs="Calibri"/>
          <w:szCs w:val="20"/>
          <w:lang w:eastAsia="ja-JP"/>
        </w:rPr>
      </w:pPr>
      <w:r w:rsidRPr="00B67FEC">
        <w:rPr>
          <w:rFonts w:cs="Calibri"/>
          <w:szCs w:val="20"/>
        </w:rPr>
        <w:t>Effettua per quanto possibile ulteriori verifiche per le a</w:t>
      </w:r>
      <w:r w:rsidR="006C1A37" w:rsidRPr="00B67FEC">
        <w:rPr>
          <w:rFonts w:cs="Calibri"/>
          <w:szCs w:val="20"/>
        </w:rPr>
        <w:t>l</w:t>
      </w:r>
      <w:r w:rsidRPr="00B67FEC">
        <w:rPr>
          <w:rFonts w:cs="Calibri"/>
          <w:szCs w:val="20"/>
        </w:rPr>
        <w:t xml:space="preserve">tre fattispecie di </w:t>
      </w:r>
      <w:proofErr w:type="spellStart"/>
      <w:r w:rsidRPr="00B67FEC">
        <w:rPr>
          <w:rFonts w:cs="Calibri"/>
          <w:szCs w:val="20"/>
        </w:rPr>
        <w:t>inconferibilità</w:t>
      </w:r>
      <w:proofErr w:type="spellEnd"/>
      <w:r w:rsidRPr="00B67FEC">
        <w:rPr>
          <w:rFonts w:cs="Calibri"/>
          <w:szCs w:val="20"/>
        </w:rPr>
        <w:t xml:space="preserve"> e incompatibilità.</w:t>
      </w:r>
    </w:p>
    <w:p w:rsidR="00917163" w:rsidRPr="00B67FEC" w:rsidRDefault="00917163" w:rsidP="0049154B">
      <w:pPr>
        <w:rPr>
          <w:rFonts w:cs="Calibri"/>
          <w:szCs w:val="20"/>
        </w:rPr>
      </w:pPr>
      <w:r w:rsidRPr="00B67FEC">
        <w:rPr>
          <w:rFonts w:cs="Calibri"/>
          <w:szCs w:val="20"/>
        </w:rPr>
        <w:t xml:space="preserve">Ai sensi dall’art. 15 del d.lgs. n. 39/2013, al RPC è affidato il compito di vigilare sul rispetto delle disposizioni sulle </w:t>
      </w:r>
      <w:proofErr w:type="spellStart"/>
      <w:r w:rsidRPr="00B67FEC">
        <w:rPr>
          <w:rFonts w:cs="Calibri"/>
          <w:szCs w:val="20"/>
        </w:rPr>
        <w:t>inconferibilità</w:t>
      </w:r>
      <w:proofErr w:type="spellEnd"/>
      <w:r w:rsidRPr="00B67FEC">
        <w:rPr>
          <w:rFonts w:cs="Calibri"/>
          <w:szCs w:val="20"/>
        </w:rPr>
        <w:t xml:space="preserve"> e incompatibilità degli incarichi di cui al medesimo decreto legislativo, con capacità proprie di intervento, anche sanzionatorio, e di segnalare le violazioni all’ANAC. </w:t>
      </w:r>
    </w:p>
    <w:p w:rsidR="00917163" w:rsidRPr="00B67FEC" w:rsidRDefault="00917163" w:rsidP="0049154B">
      <w:pPr>
        <w:rPr>
          <w:rFonts w:cs="Calibri"/>
          <w:szCs w:val="20"/>
        </w:rPr>
      </w:pPr>
      <w:r w:rsidRPr="00B67FEC">
        <w:rPr>
          <w:rFonts w:cs="Calibri"/>
          <w:szCs w:val="20"/>
        </w:rPr>
        <w:t xml:space="preserve">A tale proposito è utile ricordare che l’Autorità con le “Linee guida in materia di accertamento delle </w:t>
      </w:r>
      <w:proofErr w:type="spellStart"/>
      <w:r w:rsidRPr="00B67FEC">
        <w:rPr>
          <w:rFonts w:cs="Calibri"/>
          <w:szCs w:val="20"/>
        </w:rPr>
        <w:t>inconferibilità</w:t>
      </w:r>
      <w:proofErr w:type="spellEnd"/>
      <w:r w:rsidRPr="00B67FEC">
        <w:rPr>
          <w:rFonts w:cs="Calibri"/>
          <w:szCs w:val="20"/>
        </w:rPr>
        <w:t xml:space="preserve"> e delle incompatibilità degli incarichi amministrativi da parte del responsabile della prevenzione della corruzione”, adottate con Delibera ANAC n. 833 del 3 agosto 2016 ha precisato che spetta al </w:t>
      </w:r>
      <w:r w:rsidR="008F7E78" w:rsidRPr="00B67FEC">
        <w:rPr>
          <w:rFonts w:cs="Calibri"/>
          <w:szCs w:val="20"/>
        </w:rPr>
        <w:t>RPC</w:t>
      </w:r>
      <w:r w:rsidRPr="00B67FEC">
        <w:rPr>
          <w:rFonts w:cs="Calibri"/>
          <w:szCs w:val="20"/>
        </w:rPr>
        <w:t xml:space="preserve"> “avviare il procedimento sanzionatorio, ai fini dell’accertamento delle responsabilità soggettive e dell’applicazione della misura </w:t>
      </w:r>
      <w:proofErr w:type="spellStart"/>
      <w:r w:rsidRPr="00B67FEC">
        <w:rPr>
          <w:rFonts w:cs="Calibri"/>
          <w:szCs w:val="20"/>
        </w:rPr>
        <w:t>interdittiva</w:t>
      </w:r>
      <w:proofErr w:type="spellEnd"/>
      <w:r w:rsidRPr="00B67FEC">
        <w:rPr>
          <w:rFonts w:cs="Calibri"/>
          <w:szCs w:val="20"/>
        </w:rPr>
        <w:t xml:space="preserve"> prevista dall’art. 18 (per le sole </w:t>
      </w:r>
      <w:proofErr w:type="spellStart"/>
      <w:r w:rsidRPr="00B67FEC">
        <w:rPr>
          <w:rFonts w:cs="Calibri"/>
          <w:szCs w:val="20"/>
        </w:rPr>
        <w:t>inconferibilità</w:t>
      </w:r>
      <w:proofErr w:type="spellEnd"/>
      <w:r w:rsidRPr="00B67FEC">
        <w:rPr>
          <w:rFonts w:cs="Calibri"/>
          <w:szCs w:val="20"/>
        </w:rPr>
        <w:t xml:space="preserve">).” </w:t>
      </w:r>
    </w:p>
    <w:p w:rsidR="00917163" w:rsidRPr="00B67FEC" w:rsidRDefault="00917163" w:rsidP="0049154B">
      <w:pPr>
        <w:rPr>
          <w:rFonts w:cs="Calibri"/>
          <w:szCs w:val="20"/>
        </w:rPr>
      </w:pPr>
      <w:r w:rsidRPr="00B67FEC">
        <w:rPr>
          <w:rFonts w:cs="Calibri"/>
          <w:szCs w:val="20"/>
        </w:rPr>
        <w:t xml:space="preserve">Il procedimento avviato dal RPC è un distinto e autonomo procedimento, che si svolge nel rispetto del contraddittorio e che è volto ad accertare la sussistenza dell’elemento psicologico del dolo o della colpa, anche lieve, in capo all’organo conferente. </w:t>
      </w:r>
    </w:p>
    <w:p w:rsidR="00917163" w:rsidRPr="00B67FEC" w:rsidRDefault="00917163" w:rsidP="0049154B">
      <w:pPr>
        <w:rPr>
          <w:rFonts w:cs="Calibri"/>
          <w:szCs w:val="20"/>
        </w:rPr>
      </w:pPr>
      <w:r w:rsidRPr="00B67FEC">
        <w:rPr>
          <w:rFonts w:cs="Calibri"/>
          <w:szCs w:val="20"/>
        </w:rPr>
        <w:t>All’esito del suo accertamento il RPC irroga, se del caso, la sanzione inibitoria di cui all’art. 18 del d.lgs. n. 39/2013. Per effetto di tale sanzione, l’organo che ha conferito l’incarico non potrà, per i successivi tre mesi, procedere al conferimento di incarichi di propria competenza.”</w:t>
      </w:r>
    </w:p>
    <w:p w:rsidR="00CA0CCB" w:rsidRPr="00313E49" w:rsidRDefault="00CA0CCB" w:rsidP="00313E49">
      <w:pPr>
        <w:rPr>
          <w:rFonts w:eastAsia="MS Mincho"/>
          <w:szCs w:val="20"/>
          <w:lang w:eastAsia="ja-JP"/>
        </w:rPr>
      </w:pPr>
      <w:r w:rsidRPr="00313E49">
        <w:rPr>
          <w:rFonts w:eastAsia="MS Mincho"/>
          <w:szCs w:val="20"/>
          <w:lang w:eastAsia="ja-JP"/>
        </w:rPr>
        <w:t xml:space="preserve">A tal fine si </w:t>
      </w:r>
      <w:r w:rsidR="00097368" w:rsidRPr="00313E49">
        <w:rPr>
          <w:rFonts w:eastAsia="MS Mincho"/>
          <w:szCs w:val="20"/>
          <w:lang w:eastAsia="ja-JP"/>
        </w:rPr>
        <w:t xml:space="preserve">potrà </w:t>
      </w:r>
      <w:r w:rsidRPr="00313E49">
        <w:rPr>
          <w:rFonts w:eastAsia="MS Mincho"/>
          <w:szCs w:val="20"/>
          <w:lang w:eastAsia="ja-JP"/>
        </w:rPr>
        <w:t>utilizza</w:t>
      </w:r>
      <w:r w:rsidR="00097368" w:rsidRPr="00313E49">
        <w:rPr>
          <w:rFonts w:eastAsia="MS Mincho"/>
          <w:szCs w:val="20"/>
          <w:lang w:eastAsia="ja-JP"/>
        </w:rPr>
        <w:t>re</w:t>
      </w:r>
      <w:r w:rsidRPr="00313E49">
        <w:rPr>
          <w:rFonts w:eastAsia="MS Mincho"/>
          <w:szCs w:val="20"/>
          <w:lang w:eastAsia="ja-JP"/>
        </w:rPr>
        <w:t xml:space="preserve"> il modello “</w:t>
      </w:r>
      <w:r w:rsidR="000D50F1" w:rsidRPr="00313E49">
        <w:rPr>
          <w:rFonts w:eastAsia="MS Mincho"/>
          <w:szCs w:val="20"/>
          <w:lang w:eastAsia="ja-JP"/>
        </w:rPr>
        <w:t>6.1</w:t>
      </w:r>
      <w:r w:rsidRPr="00313E49">
        <w:rPr>
          <w:rFonts w:eastAsia="MS Mincho"/>
          <w:szCs w:val="20"/>
          <w:lang w:eastAsia="ja-JP"/>
        </w:rPr>
        <w:t>. Dichiarazione Consulenti e collaboratori”</w:t>
      </w:r>
    </w:p>
    <w:p w:rsidR="00D95307" w:rsidRPr="00B67FEC" w:rsidRDefault="00D95307" w:rsidP="0049154B">
      <w:pPr>
        <w:rPr>
          <w:rFonts w:cs="Calibri"/>
          <w:b/>
        </w:rPr>
      </w:pPr>
    </w:p>
    <w:p w:rsidR="00917163" w:rsidRPr="00B67FEC" w:rsidRDefault="00917163" w:rsidP="0049154B">
      <w:pPr>
        <w:rPr>
          <w:rFonts w:cs="Calibri"/>
          <w:b/>
          <w:bCs/>
        </w:rPr>
      </w:pPr>
      <w:r w:rsidRPr="00B67FEC">
        <w:rPr>
          <w:rFonts w:cs="Calibri"/>
          <w:b/>
        </w:rPr>
        <w:t>Attività e incarichi extra-istituzionali</w:t>
      </w:r>
      <w:bookmarkEnd w:id="182"/>
    </w:p>
    <w:p w:rsidR="00917163" w:rsidRDefault="00917163" w:rsidP="0049154B">
      <w:pPr>
        <w:rPr>
          <w:rFonts w:cs="Calibri"/>
        </w:rPr>
      </w:pPr>
      <w:r w:rsidRPr="00B67FEC">
        <w:rPr>
          <w:rFonts w:cs="Calibri"/>
        </w:rPr>
        <w:t xml:space="preserve">Al momento in </w:t>
      </w:r>
      <w:r w:rsidR="00EC0950">
        <w:rPr>
          <w:rFonts w:cs="Calibri"/>
        </w:rPr>
        <w:t>Segrate Servizi Srl</w:t>
      </w:r>
      <w:r w:rsidRPr="00B67FEC">
        <w:rPr>
          <w:rFonts w:cs="Calibri"/>
        </w:rPr>
        <w:t xml:space="preserve"> non c’è vincolo di rilascio autorizzazione preliminare allo svolgimento</w:t>
      </w:r>
      <w:r w:rsidR="006C1A37" w:rsidRPr="00B67FEC">
        <w:rPr>
          <w:rFonts w:cs="Calibri"/>
        </w:rPr>
        <w:t xml:space="preserve"> incarichi extra-istituzionali.</w:t>
      </w:r>
      <w:r w:rsidR="000D50F1">
        <w:rPr>
          <w:rFonts w:cs="Calibri"/>
        </w:rPr>
        <w:t xml:space="preserve"> </w:t>
      </w:r>
    </w:p>
    <w:p w:rsidR="000D50F1" w:rsidRPr="00313E49" w:rsidRDefault="000D50F1" w:rsidP="00313E49">
      <w:pPr>
        <w:rPr>
          <w:rFonts w:eastAsia="MS Mincho"/>
          <w:szCs w:val="20"/>
          <w:lang w:eastAsia="ja-JP"/>
        </w:rPr>
      </w:pPr>
      <w:r w:rsidRPr="00313E49">
        <w:rPr>
          <w:rFonts w:cs="Calibri"/>
        </w:rPr>
        <w:t>Nel caso si ritenesse opportuno attivare, nel corso del 202</w:t>
      </w:r>
      <w:r w:rsidR="00313E49">
        <w:rPr>
          <w:rFonts w:cs="Calibri"/>
        </w:rPr>
        <w:t>2</w:t>
      </w:r>
      <w:r w:rsidRPr="00313E49">
        <w:rPr>
          <w:rFonts w:cs="Calibri"/>
        </w:rPr>
        <w:t xml:space="preserve">, la procedura di attivazione autorizzazione preliminare allo svolgimento incarichi extra-istituzionali in Segrate Servizi, </w:t>
      </w:r>
      <w:r w:rsidRPr="00313E49">
        <w:rPr>
          <w:rFonts w:eastAsia="MS Mincho"/>
          <w:szCs w:val="20"/>
          <w:lang w:eastAsia="ja-JP"/>
        </w:rPr>
        <w:t xml:space="preserve">si potrà utilizzare il modello </w:t>
      </w:r>
      <w:r w:rsidR="001015F8" w:rsidRPr="00313E49">
        <w:rPr>
          <w:rFonts w:eastAsia="MS Mincho"/>
          <w:szCs w:val="20"/>
          <w:lang w:eastAsia="ja-JP"/>
        </w:rPr>
        <w:t>“</w:t>
      </w:r>
      <w:r w:rsidRPr="00313E49">
        <w:rPr>
          <w:rFonts w:eastAsia="MS Mincho"/>
          <w:szCs w:val="20"/>
          <w:lang w:eastAsia="ja-JP"/>
        </w:rPr>
        <w:t>6.3 Autorizzazione incarico extra-istituzionale e assenza conflitto di interessi</w:t>
      </w:r>
      <w:r w:rsidR="001015F8" w:rsidRPr="00313E49">
        <w:rPr>
          <w:rFonts w:eastAsia="MS Mincho"/>
          <w:szCs w:val="20"/>
          <w:lang w:eastAsia="ja-JP"/>
        </w:rPr>
        <w:t>”</w:t>
      </w:r>
    </w:p>
    <w:p w:rsidR="000D50F1" w:rsidRPr="00B67FEC" w:rsidRDefault="000D50F1" w:rsidP="0049154B">
      <w:pPr>
        <w:rPr>
          <w:rFonts w:cs="Calibri"/>
        </w:rPr>
      </w:pPr>
    </w:p>
    <w:p w:rsidR="000D50F1" w:rsidRDefault="000D50F1" w:rsidP="0049154B">
      <w:pPr>
        <w:rPr>
          <w:rFonts w:cs="Calibri"/>
          <w:b/>
        </w:rPr>
      </w:pPr>
    </w:p>
    <w:p w:rsidR="00917163" w:rsidRPr="00B67FEC" w:rsidRDefault="00917163" w:rsidP="005E75DF">
      <w:pPr>
        <w:spacing w:line="240" w:lineRule="auto"/>
        <w:jc w:val="left"/>
        <w:rPr>
          <w:rFonts w:cs="Calibri"/>
          <w:b/>
        </w:rPr>
      </w:pPr>
      <w:r w:rsidRPr="00B67FEC">
        <w:rPr>
          <w:rFonts w:cs="Calibri"/>
          <w:b/>
        </w:rPr>
        <w:t>Modalità della programmazione della misura: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62"/>
      </w:tblGrid>
      <w:tr w:rsidR="00917163" w:rsidRPr="00B67FEC" w:rsidTr="00A66C17">
        <w:tc>
          <w:tcPr>
            <w:tcW w:w="2518" w:type="dxa"/>
            <w:shd w:val="clear" w:color="auto" w:fill="auto"/>
          </w:tcPr>
          <w:p w:rsidR="00917163" w:rsidRPr="00313E49" w:rsidRDefault="00917163" w:rsidP="00A66C17">
            <w:pPr>
              <w:jc w:val="left"/>
              <w:rPr>
                <w:rFonts w:cs="Calibri"/>
                <w:b/>
              </w:rPr>
            </w:pPr>
            <w:r w:rsidRPr="00313E49">
              <w:rPr>
                <w:rFonts w:cs="Calibri"/>
                <w:b/>
              </w:rPr>
              <w:t>Fasi/attività per la sua attuazione</w:t>
            </w:r>
          </w:p>
        </w:tc>
        <w:tc>
          <w:tcPr>
            <w:tcW w:w="7562" w:type="dxa"/>
            <w:shd w:val="clear" w:color="auto" w:fill="auto"/>
          </w:tcPr>
          <w:p w:rsidR="00097368" w:rsidRPr="00313E49" w:rsidRDefault="00097368" w:rsidP="00097368">
            <w:pPr>
              <w:spacing w:line="240" w:lineRule="auto"/>
              <w:jc w:val="left"/>
            </w:pPr>
            <w:r w:rsidRPr="00313E49">
              <w:t>Per il 202</w:t>
            </w:r>
            <w:r w:rsidR="00313E49">
              <w:t>2</w:t>
            </w:r>
            <w:r w:rsidRPr="00313E49">
              <w:t xml:space="preserve">, si </w:t>
            </w:r>
            <w:r w:rsidR="00AA4E10" w:rsidRPr="00313E49">
              <w:t>attuerà la</w:t>
            </w:r>
            <w:r w:rsidRPr="00313E49">
              <w:t xml:space="preserve"> misura come sopra descritta, perseguendo i seguenti traguardi:</w:t>
            </w:r>
          </w:p>
          <w:p w:rsidR="00097368" w:rsidRPr="00313E49" w:rsidRDefault="00097368" w:rsidP="00097368">
            <w:pPr>
              <w:spacing w:line="240" w:lineRule="auto"/>
              <w:rPr>
                <w:b/>
              </w:rPr>
            </w:pPr>
            <w:r w:rsidRPr="00313E49">
              <w:rPr>
                <w:b/>
              </w:rPr>
              <w:t>Dichiarazioni acquisite (n.)</w:t>
            </w:r>
          </w:p>
          <w:p w:rsidR="00097368" w:rsidRPr="00313E49" w:rsidRDefault="00097368" w:rsidP="00097368">
            <w:pPr>
              <w:spacing w:line="240" w:lineRule="auto"/>
            </w:pPr>
            <w:r w:rsidRPr="00313E49">
              <w:t>AU 100% (n. 1) pubblicat</w:t>
            </w:r>
            <w:r w:rsidR="00313E49">
              <w:t>a</w:t>
            </w:r>
          </w:p>
          <w:p w:rsidR="00097368" w:rsidRPr="00313E49" w:rsidRDefault="00097368" w:rsidP="00097368">
            <w:pPr>
              <w:spacing w:line="240" w:lineRule="auto"/>
            </w:pPr>
            <w:r w:rsidRPr="00313E49">
              <w:t>ODV 100% (n. 1) pubblicata</w:t>
            </w:r>
          </w:p>
          <w:p w:rsidR="00097368" w:rsidRPr="00313E49" w:rsidRDefault="00097368" w:rsidP="00097368">
            <w:pPr>
              <w:spacing w:line="240" w:lineRule="auto"/>
              <w:rPr>
                <w:b/>
              </w:rPr>
            </w:pPr>
            <w:r w:rsidRPr="00313E49">
              <w:rPr>
                <w:b/>
              </w:rPr>
              <w:t>Violazioni accertate al protocollo operativo:</w:t>
            </w:r>
          </w:p>
          <w:p w:rsidR="00917163" w:rsidRPr="00E10FCB" w:rsidRDefault="00097368" w:rsidP="00E10FCB">
            <w:pPr>
              <w:spacing w:line="240" w:lineRule="auto"/>
            </w:pPr>
            <w:r w:rsidRPr="00313E49">
              <w:t>n. 0</w:t>
            </w:r>
          </w:p>
        </w:tc>
      </w:tr>
      <w:tr w:rsidR="00917163" w:rsidRPr="00B67FEC" w:rsidTr="00A66C17">
        <w:tc>
          <w:tcPr>
            <w:tcW w:w="2518" w:type="dxa"/>
            <w:shd w:val="clear" w:color="auto" w:fill="auto"/>
          </w:tcPr>
          <w:p w:rsidR="00917163" w:rsidRPr="00B67FEC" w:rsidRDefault="00917163" w:rsidP="00A66C17">
            <w:pPr>
              <w:jc w:val="left"/>
              <w:rPr>
                <w:rFonts w:cs="Calibri"/>
                <w:b/>
              </w:rPr>
            </w:pPr>
            <w:r w:rsidRPr="00B67FEC">
              <w:rPr>
                <w:rFonts w:cs="Calibri"/>
                <w:b/>
              </w:rPr>
              <w:t>Tempi di attuazione</w:t>
            </w:r>
          </w:p>
        </w:tc>
        <w:tc>
          <w:tcPr>
            <w:tcW w:w="7562" w:type="dxa"/>
            <w:shd w:val="clear" w:color="auto" w:fill="auto"/>
          </w:tcPr>
          <w:p w:rsidR="00917163" w:rsidRPr="00097368" w:rsidRDefault="00917163" w:rsidP="0049154B">
            <w:pPr>
              <w:rPr>
                <w:rFonts w:cs="Calibri"/>
                <w:bCs/>
              </w:rPr>
            </w:pPr>
            <w:r w:rsidRPr="00097368">
              <w:rPr>
                <w:rFonts w:cs="Calibri"/>
                <w:bCs/>
              </w:rPr>
              <w:t>Costante nel tempo</w:t>
            </w:r>
          </w:p>
        </w:tc>
      </w:tr>
      <w:tr w:rsidR="00917163" w:rsidRPr="00B67FEC" w:rsidTr="00A66C17">
        <w:tc>
          <w:tcPr>
            <w:tcW w:w="2518" w:type="dxa"/>
            <w:shd w:val="clear" w:color="auto" w:fill="auto"/>
          </w:tcPr>
          <w:p w:rsidR="00917163" w:rsidRPr="00B67FEC" w:rsidRDefault="00917163" w:rsidP="00A66C17">
            <w:pPr>
              <w:jc w:val="left"/>
              <w:rPr>
                <w:rFonts w:cs="Calibri"/>
                <w:b/>
              </w:rPr>
            </w:pPr>
            <w:r w:rsidRPr="00B67FEC">
              <w:rPr>
                <w:rFonts w:cs="Calibri"/>
                <w:b/>
              </w:rPr>
              <w:t>Responsabili della sua attuazione</w:t>
            </w:r>
          </w:p>
        </w:tc>
        <w:tc>
          <w:tcPr>
            <w:tcW w:w="7562" w:type="dxa"/>
            <w:shd w:val="clear" w:color="auto" w:fill="auto"/>
          </w:tcPr>
          <w:p w:rsidR="00917163" w:rsidRPr="00097368" w:rsidRDefault="00917163" w:rsidP="0049154B">
            <w:pPr>
              <w:rPr>
                <w:rFonts w:cs="Calibri"/>
                <w:bCs/>
              </w:rPr>
            </w:pPr>
            <w:r w:rsidRPr="00097368">
              <w:rPr>
                <w:rFonts w:cs="Calibri"/>
                <w:bCs/>
              </w:rPr>
              <w:t>RPC per attivazione della misura</w:t>
            </w:r>
          </w:p>
        </w:tc>
      </w:tr>
      <w:tr w:rsidR="00917163" w:rsidRPr="00B67FEC" w:rsidTr="00A66C17">
        <w:tc>
          <w:tcPr>
            <w:tcW w:w="2518" w:type="dxa"/>
            <w:shd w:val="clear" w:color="auto" w:fill="auto"/>
          </w:tcPr>
          <w:p w:rsidR="00917163" w:rsidRPr="00B67FEC" w:rsidRDefault="00917163" w:rsidP="00A66C17">
            <w:pPr>
              <w:jc w:val="left"/>
              <w:rPr>
                <w:rFonts w:cs="Calibri"/>
                <w:b/>
              </w:rPr>
            </w:pPr>
            <w:r w:rsidRPr="00B67FEC">
              <w:rPr>
                <w:rFonts w:cs="Calibri"/>
                <w:b/>
              </w:rPr>
              <w:t>Indicatori di monitoraggio</w:t>
            </w:r>
          </w:p>
        </w:tc>
        <w:tc>
          <w:tcPr>
            <w:tcW w:w="7562" w:type="dxa"/>
            <w:shd w:val="clear" w:color="auto" w:fill="auto"/>
          </w:tcPr>
          <w:p w:rsidR="00917163" w:rsidRPr="00097368" w:rsidRDefault="00917163" w:rsidP="0049154B">
            <w:pPr>
              <w:rPr>
                <w:rFonts w:cs="Calibri"/>
                <w:bCs/>
              </w:rPr>
            </w:pPr>
            <w:r w:rsidRPr="00097368">
              <w:rPr>
                <w:rFonts w:cs="Calibri"/>
                <w:bCs/>
              </w:rPr>
              <w:t>Verific</w:t>
            </w:r>
            <w:r w:rsidR="00E10FCB">
              <w:rPr>
                <w:rFonts w:cs="Calibri"/>
                <w:bCs/>
              </w:rPr>
              <w:t>a</w:t>
            </w:r>
            <w:r w:rsidRPr="00097368">
              <w:rPr>
                <w:rFonts w:cs="Calibri"/>
                <w:bCs/>
              </w:rPr>
              <w:t xml:space="preserve"> </w:t>
            </w:r>
            <w:r w:rsidR="00E10FCB">
              <w:rPr>
                <w:rFonts w:cs="Calibri"/>
                <w:bCs/>
              </w:rPr>
              <w:t>pubblicazione</w:t>
            </w:r>
            <w:r w:rsidRPr="00097368">
              <w:rPr>
                <w:rFonts w:cs="Calibri"/>
                <w:bCs/>
              </w:rPr>
              <w:t xml:space="preserve"> dichiarazioni </w:t>
            </w:r>
            <w:proofErr w:type="spellStart"/>
            <w:r w:rsidRPr="00097368">
              <w:rPr>
                <w:rFonts w:cs="Calibri"/>
                <w:bCs/>
              </w:rPr>
              <w:t>inconferibilità</w:t>
            </w:r>
            <w:proofErr w:type="spellEnd"/>
            <w:r w:rsidRPr="00097368">
              <w:rPr>
                <w:rFonts w:cs="Calibri"/>
                <w:bCs/>
              </w:rPr>
              <w:t xml:space="preserve"> /incompatibilità ricevute: 100%</w:t>
            </w:r>
          </w:p>
        </w:tc>
      </w:tr>
      <w:tr w:rsidR="00A66C17" w:rsidRPr="00B67FEC" w:rsidTr="00A66C17">
        <w:tc>
          <w:tcPr>
            <w:tcW w:w="2518" w:type="dxa"/>
            <w:shd w:val="clear" w:color="auto" w:fill="auto"/>
          </w:tcPr>
          <w:p w:rsidR="00A66C17" w:rsidRPr="00B67FEC" w:rsidRDefault="00A66C17" w:rsidP="00A66C17">
            <w:pPr>
              <w:jc w:val="left"/>
              <w:rPr>
                <w:rFonts w:cs="Calibri"/>
                <w:b/>
              </w:rPr>
            </w:pPr>
            <w:r w:rsidRPr="00B67FEC">
              <w:rPr>
                <w:rFonts w:cs="Calibri"/>
                <w:b/>
              </w:rPr>
              <w:t>Attuazione della misura</w:t>
            </w:r>
          </w:p>
        </w:tc>
        <w:tc>
          <w:tcPr>
            <w:tcW w:w="7562" w:type="dxa"/>
            <w:shd w:val="clear" w:color="auto" w:fill="auto"/>
          </w:tcPr>
          <w:p w:rsidR="00A66C17" w:rsidRPr="00097368" w:rsidRDefault="00A66C17" w:rsidP="0049154B">
            <w:pPr>
              <w:rPr>
                <w:rFonts w:cs="Calibri"/>
                <w:bCs/>
              </w:rPr>
            </w:pPr>
            <w:r w:rsidRPr="00097368">
              <w:rPr>
                <w:rFonts w:cs="Calibri"/>
                <w:bCs/>
              </w:rPr>
              <w:t>2018: 0%</w:t>
            </w:r>
          </w:p>
          <w:p w:rsidR="00A66C17" w:rsidRDefault="00391BAE" w:rsidP="0049154B">
            <w:pPr>
              <w:rPr>
                <w:rFonts w:cs="Calibri"/>
                <w:bCs/>
              </w:rPr>
            </w:pPr>
            <w:r w:rsidRPr="00097368">
              <w:rPr>
                <w:rFonts w:cs="Calibri"/>
                <w:bCs/>
              </w:rPr>
              <w:t>2019</w:t>
            </w:r>
            <w:r w:rsidR="00A66C17" w:rsidRPr="00097368">
              <w:rPr>
                <w:rFonts w:cs="Calibri"/>
                <w:bCs/>
              </w:rPr>
              <w:t>: 0%</w:t>
            </w:r>
          </w:p>
          <w:p w:rsidR="00097368" w:rsidRDefault="00097368" w:rsidP="0049154B">
            <w:pPr>
              <w:rPr>
                <w:rFonts w:cs="Calibri"/>
                <w:bCs/>
              </w:rPr>
            </w:pPr>
            <w:r>
              <w:rPr>
                <w:rFonts w:cs="Calibri"/>
                <w:bCs/>
              </w:rPr>
              <w:t xml:space="preserve">2020: </w:t>
            </w:r>
            <w:r w:rsidR="00E10FCB">
              <w:rPr>
                <w:rFonts w:cs="Calibri"/>
                <w:bCs/>
              </w:rPr>
              <w:t>10</w:t>
            </w:r>
            <w:r>
              <w:rPr>
                <w:rFonts w:cs="Calibri"/>
                <w:bCs/>
              </w:rPr>
              <w:t>0%</w:t>
            </w:r>
          </w:p>
          <w:p w:rsidR="00313E49" w:rsidRPr="00097368" w:rsidRDefault="00313E49" w:rsidP="0049154B">
            <w:pPr>
              <w:rPr>
                <w:rFonts w:cs="Calibri"/>
                <w:bCs/>
              </w:rPr>
            </w:pPr>
            <w:r>
              <w:rPr>
                <w:rFonts w:cs="Calibri"/>
                <w:bCs/>
              </w:rPr>
              <w:t>2021: 100%</w:t>
            </w:r>
          </w:p>
        </w:tc>
      </w:tr>
    </w:tbl>
    <w:p w:rsidR="00F462E6" w:rsidRPr="008F710D" w:rsidRDefault="00C728EC" w:rsidP="004E614E">
      <w:pPr>
        <w:pStyle w:val="Titolo3"/>
      </w:pPr>
      <w:bookmarkStart w:id="183" w:name="_Toc28966904"/>
      <w:bookmarkStart w:id="184" w:name="_Toc28967124"/>
      <w:bookmarkStart w:id="185" w:name="_Toc28967377"/>
      <w:bookmarkStart w:id="186" w:name="_Toc101602039"/>
      <w:r w:rsidRPr="008F710D">
        <w:t xml:space="preserve">D. </w:t>
      </w:r>
      <w:proofErr w:type="spellStart"/>
      <w:r w:rsidRPr="008F710D">
        <w:t>Whistleblowing</w:t>
      </w:r>
      <w:bookmarkEnd w:id="183"/>
      <w:bookmarkEnd w:id="184"/>
      <w:bookmarkEnd w:id="185"/>
      <w:bookmarkEnd w:id="186"/>
      <w:proofErr w:type="spellEnd"/>
    </w:p>
    <w:p w:rsidR="00E50E41" w:rsidRPr="00B67FEC" w:rsidRDefault="00E50E41" w:rsidP="00E50E41">
      <w:pPr>
        <w:rPr>
          <w:rFonts w:cs="Calibri"/>
          <w:b/>
        </w:rPr>
      </w:pPr>
      <w:r w:rsidRPr="00B67FEC">
        <w:rPr>
          <w:rFonts w:cs="Calibri"/>
          <w:b/>
        </w:rPr>
        <w:t>Descrizione della misura</w:t>
      </w:r>
    </w:p>
    <w:p w:rsidR="00F462E6" w:rsidRPr="00B67FEC" w:rsidRDefault="00F462E6" w:rsidP="0049154B">
      <w:pPr>
        <w:rPr>
          <w:rFonts w:eastAsia="MS Mincho" w:cs="Calibri"/>
          <w:lang w:eastAsia="ja-JP"/>
        </w:rPr>
      </w:pPr>
      <w:r w:rsidRPr="00B67FEC">
        <w:rPr>
          <w:rFonts w:eastAsia="MS Mincho" w:cs="Calibri"/>
          <w:lang w:eastAsia="ja-JP"/>
        </w:rPr>
        <w:t xml:space="preserve">La disposizione contenuta nell’art. 54 bis del </w:t>
      </w:r>
      <w:r w:rsidR="00B52773" w:rsidRPr="00B67FEC">
        <w:rPr>
          <w:rFonts w:eastAsia="MS Mincho" w:cs="Calibri"/>
          <w:lang w:eastAsia="ja-JP"/>
        </w:rPr>
        <w:t>D.lgs.</w:t>
      </w:r>
      <w:r w:rsidR="00F2792F" w:rsidRPr="00B67FEC">
        <w:rPr>
          <w:rFonts w:eastAsia="MS Mincho" w:cs="Calibri"/>
          <w:lang w:eastAsia="ja-JP"/>
        </w:rPr>
        <w:t xml:space="preserve"> 165/2001 </w:t>
      </w:r>
      <w:r w:rsidRPr="00B67FEC">
        <w:rPr>
          <w:rFonts w:eastAsia="MS Mincho" w:cs="Calibri"/>
          <w:lang w:eastAsia="ja-JP"/>
        </w:rPr>
        <w:t>pone tre condizioni:</w:t>
      </w:r>
    </w:p>
    <w:p w:rsidR="00F462E6" w:rsidRPr="00B67FEC" w:rsidRDefault="00F462E6" w:rsidP="00B67FEC">
      <w:pPr>
        <w:numPr>
          <w:ilvl w:val="0"/>
          <w:numId w:val="15"/>
        </w:numPr>
        <w:rPr>
          <w:rFonts w:cs="Calibri"/>
        </w:rPr>
      </w:pPr>
      <w:r w:rsidRPr="00B67FEC">
        <w:rPr>
          <w:rFonts w:cs="Calibri"/>
        </w:rPr>
        <w:t>la tutela dell’anonimato;</w:t>
      </w:r>
    </w:p>
    <w:p w:rsidR="00F462E6" w:rsidRPr="00B67FEC" w:rsidRDefault="00F462E6" w:rsidP="00B67FEC">
      <w:pPr>
        <w:numPr>
          <w:ilvl w:val="0"/>
          <w:numId w:val="15"/>
        </w:numPr>
        <w:rPr>
          <w:rFonts w:cs="Calibri"/>
        </w:rPr>
      </w:pPr>
      <w:r w:rsidRPr="00B67FEC">
        <w:rPr>
          <w:rFonts w:cs="Calibri"/>
        </w:rPr>
        <w:t>il divieto di discriminazione nei confronti del denunciante;</w:t>
      </w:r>
    </w:p>
    <w:p w:rsidR="00F462E6" w:rsidRPr="00B67FEC" w:rsidRDefault="00F462E6" w:rsidP="00B67FEC">
      <w:pPr>
        <w:numPr>
          <w:ilvl w:val="0"/>
          <w:numId w:val="15"/>
        </w:numPr>
        <w:rPr>
          <w:rFonts w:cs="Calibri"/>
        </w:rPr>
      </w:pPr>
      <w:r w:rsidRPr="00B67FEC">
        <w:rPr>
          <w:rFonts w:cs="Calibri"/>
        </w:rPr>
        <w:t xml:space="preserve">la previsione che la denuncia </w:t>
      </w:r>
      <w:r w:rsidR="00F2792F" w:rsidRPr="00B67FEC">
        <w:rPr>
          <w:rFonts w:cs="Calibri"/>
        </w:rPr>
        <w:t>sia</w:t>
      </w:r>
      <w:r w:rsidRPr="00B67FEC">
        <w:rPr>
          <w:rFonts w:cs="Calibri"/>
        </w:rPr>
        <w:t xml:space="preserve"> s</w:t>
      </w:r>
      <w:r w:rsidR="00F2792F" w:rsidRPr="00B67FEC">
        <w:rPr>
          <w:rFonts w:cs="Calibri"/>
        </w:rPr>
        <w:t>ottratta al diritto di accesso.</w:t>
      </w:r>
    </w:p>
    <w:p w:rsidR="003B0201" w:rsidRPr="003B0201" w:rsidRDefault="003B0201" w:rsidP="0049154B">
      <w:pPr>
        <w:rPr>
          <w:rFonts w:eastAsia="MS Mincho" w:cs="Calibri"/>
          <w:i/>
          <w:lang w:eastAsia="ja-JP"/>
        </w:rPr>
      </w:pPr>
      <w:r w:rsidRPr="003B0201">
        <w:rPr>
          <w:rFonts w:eastAsia="MS Mincho" w:cs="Calibri"/>
          <w:i/>
          <w:lang w:eastAsia="ja-JP"/>
        </w:rPr>
        <w:t>Da LG 1134/2027: In mancanza di una specifica previsione normativa relativa alla tutela dei dipendenti che segnalano illeciti nelle società, come già rappresentato nelle Linee guida in materia emanate dall'Autorità con determinazione n. 6 del 28 aprile 2015, le amministrazioni controllanti promuovono l'adozione da parte delle società di misure idonee a incoraggiare il dipendente a denunciare gli illeciti di cui viene a conoscenza nell'ambito del rapporto di lavoro, avendo cura di garantire la riservatezza dell'identità del segnalante dalla ricezione e in ogni contatto successivo alla segnalazione. A questo fine è utile assicurare la trasparenza del procedimento di segnalazione, definendo e rendendo noto l'iter, con l'indicazione di termini certi per l'avvio e la conclusione dell'istruttoria e con l'individuazione dei soggetti che gestiscono le segnalazioni.</w:t>
      </w:r>
    </w:p>
    <w:p w:rsidR="00F2792F" w:rsidRPr="00B67FEC" w:rsidRDefault="00EC0950" w:rsidP="00097368">
      <w:pPr>
        <w:rPr>
          <w:rFonts w:cs="Calibri"/>
        </w:rPr>
      </w:pPr>
      <w:r>
        <w:rPr>
          <w:rFonts w:eastAsia="MS Mincho" w:cs="Calibri"/>
          <w:lang w:eastAsia="ja-JP"/>
        </w:rPr>
        <w:t>Segrate Servizi Srl</w:t>
      </w:r>
      <w:r w:rsidR="003B0201">
        <w:rPr>
          <w:rFonts w:eastAsia="MS Mincho" w:cs="Calibri"/>
          <w:lang w:eastAsia="ja-JP"/>
        </w:rPr>
        <w:t xml:space="preserve"> r</w:t>
      </w:r>
      <w:r w:rsidR="00F2792F" w:rsidRPr="00B67FEC">
        <w:rPr>
          <w:rFonts w:cs="Calibri"/>
        </w:rPr>
        <w:t xml:space="preserve">itiene peraltro opportuno dare </w:t>
      </w:r>
      <w:r w:rsidR="00F462E6" w:rsidRPr="00B67FEC">
        <w:rPr>
          <w:rFonts w:cs="Calibri"/>
        </w:rPr>
        <w:t xml:space="preserve">applicazione </w:t>
      </w:r>
      <w:r w:rsidR="00F2792F" w:rsidRPr="00B67FEC">
        <w:rPr>
          <w:rFonts w:cs="Calibri"/>
        </w:rPr>
        <w:t xml:space="preserve">alla misura, assicurando e garantendo le cautele e garanzie previste dalla </w:t>
      </w:r>
      <w:r w:rsidR="00F462E6" w:rsidRPr="00B67FEC">
        <w:rPr>
          <w:rFonts w:cs="Calibri"/>
        </w:rPr>
        <w:t xml:space="preserve">l. 179/2017 c.d. Legge sul </w:t>
      </w:r>
      <w:proofErr w:type="spellStart"/>
      <w:r w:rsidR="00F462E6" w:rsidRPr="00B67FEC">
        <w:rPr>
          <w:rFonts w:cs="Calibri"/>
          <w:i/>
        </w:rPr>
        <w:t>Whistleblowing</w:t>
      </w:r>
      <w:proofErr w:type="spellEnd"/>
      <w:r w:rsidR="00F462E6" w:rsidRPr="00B67FEC">
        <w:rPr>
          <w:rFonts w:cs="Calibri"/>
        </w:rPr>
        <w:t>, cui si rimanda integralmente</w:t>
      </w:r>
      <w:r w:rsidR="00DF7EBA">
        <w:rPr>
          <w:rFonts w:cs="Calibri"/>
        </w:rPr>
        <w:t>.</w:t>
      </w:r>
    </w:p>
    <w:p w:rsidR="00F462E6" w:rsidRPr="00B67FEC" w:rsidRDefault="00F462E6" w:rsidP="0049154B">
      <w:pPr>
        <w:rPr>
          <w:rFonts w:cs="Calibri"/>
          <w:b/>
        </w:rPr>
      </w:pPr>
      <w:r w:rsidRPr="00B67FEC">
        <w:rPr>
          <w:rFonts w:cs="Calibri"/>
          <w:b/>
        </w:rPr>
        <w:t>Modalità della programmazione della misura: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62"/>
      </w:tblGrid>
      <w:tr w:rsidR="00F462E6" w:rsidRPr="00B67FEC" w:rsidTr="00E50E41">
        <w:tc>
          <w:tcPr>
            <w:tcW w:w="2518" w:type="dxa"/>
            <w:shd w:val="clear" w:color="auto" w:fill="auto"/>
          </w:tcPr>
          <w:p w:rsidR="00F462E6" w:rsidRPr="00E10FCB" w:rsidRDefault="00F462E6" w:rsidP="00E50E41">
            <w:pPr>
              <w:spacing w:line="276" w:lineRule="auto"/>
              <w:rPr>
                <w:rFonts w:cs="Calibri"/>
                <w:b/>
              </w:rPr>
            </w:pPr>
            <w:r w:rsidRPr="00E10FCB">
              <w:rPr>
                <w:rFonts w:cs="Calibri"/>
                <w:b/>
              </w:rPr>
              <w:t>Fasi/attività per la sua attuazione</w:t>
            </w:r>
          </w:p>
        </w:tc>
        <w:tc>
          <w:tcPr>
            <w:tcW w:w="7562" w:type="dxa"/>
            <w:shd w:val="clear" w:color="auto" w:fill="auto"/>
          </w:tcPr>
          <w:p w:rsidR="00097368" w:rsidRPr="00E10FCB" w:rsidRDefault="00097368" w:rsidP="00097368">
            <w:pPr>
              <w:spacing w:line="240" w:lineRule="auto"/>
            </w:pPr>
            <w:r w:rsidRPr="00E10FCB">
              <w:t>Per il 202</w:t>
            </w:r>
            <w:r w:rsidR="00E10FCB">
              <w:t>2</w:t>
            </w:r>
            <w:r w:rsidRPr="00E10FCB">
              <w:t xml:space="preserve">, si </w:t>
            </w:r>
            <w:r w:rsidR="00AA4E10" w:rsidRPr="00E10FCB">
              <w:t>attuerà la</w:t>
            </w:r>
            <w:r w:rsidRPr="00E10FCB">
              <w:t xml:space="preserve"> misura come sopra descritta, perseguendo i seguenti traguardi:</w:t>
            </w:r>
          </w:p>
          <w:p w:rsidR="00097368" w:rsidRPr="00E10FCB" w:rsidRDefault="00097368" w:rsidP="00097368">
            <w:pPr>
              <w:spacing w:line="240" w:lineRule="auto"/>
              <w:rPr>
                <w:b/>
              </w:rPr>
            </w:pPr>
            <w:r w:rsidRPr="00E10FCB">
              <w:rPr>
                <w:b/>
              </w:rPr>
              <w:t>Segnalazioni acquisite</w:t>
            </w:r>
          </w:p>
          <w:p w:rsidR="00097368" w:rsidRPr="00E10FCB" w:rsidRDefault="00097368" w:rsidP="00097368">
            <w:pPr>
              <w:spacing w:line="240" w:lineRule="auto"/>
            </w:pPr>
            <w:r w:rsidRPr="00E10FCB">
              <w:t>n. 0</w:t>
            </w:r>
          </w:p>
          <w:p w:rsidR="00097368" w:rsidRPr="00E10FCB" w:rsidRDefault="00097368" w:rsidP="00097368">
            <w:pPr>
              <w:spacing w:line="240" w:lineRule="auto"/>
              <w:rPr>
                <w:b/>
              </w:rPr>
            </w:pPr>
            <w:r w:rsidRPr="00E10FCB">
              <w:rPr>
                <w:b/>
              </w:rPr>
              <w:t>Segnalazioni correttamente gestite su eventuali ricevute</w:t>
            </w:r>
          </w:p>
          <w:p w:rsidR="00F462E6" w:rsidRDefault="00097368" w:rsidP="00097368">
            <w:pPr>
              <w:spacing w:line="276" w:lineRule="auto"/>
            </w:pPr>
            <w:r w:rsidRPr="00E10FCB">
              <w:t>100% (sulla base del trend storico si presume nessuna)</w:t>
            </w:r>
          </w:p>
          <w:p w:rsidR="00E10FCB" w:rsidRPr="00502B36" w:rsidRDefault="00E10FCB" w:rsidP="00097368">
            <w:pPr>
              <w:spacing w:line="276" w:lineRule="auto"/>
              <w:rPr>
                <w:rFonts w:cs="Calibri"/>
                <w:b/>
              </w:rPr>
            </w:pPr>
            <w:r w:rsidRPr="00502B36">
              <w:rPr>
                <w:rFonts w:cs="Calibri"/>
                <w:b/>
              </w:rPr>
              <w:t xml:space="preserve">Attivazione piattaforma </w:t>
            </w:r>
            <w:proofErr w:type="spellStart"/>
            <w:r w:rsidRPr="00502B36">
              <w:rPr>
                <w:rFonts w:cs="Calibri"/>
                <w:b/>
              </w:rPr>
              <w:t>whistleblowing</w:t>
            </w:r>
            <w:proofErr w:type="spellEnd"/>
            <w:r w:rsidRPr="00502B36">
              <w:rPr>
                <w:rFonts w:cs="Calibri"/>
                <w:b/>
              </w:rPr>
              <w:t xml:space="preserve"> gratuita e di tutela dell’anonimato</w:t>
            </w:r>
            <w:r w:rsidR="00502B36">
              <w:rPr>
                <w:rFonts w:cs="Calibri"/>
                <w:b/>
              </w:rPr>
              <w:t xml:space="preserve"> e</w:t>
            </w:r>
            <w:r w:rsidRPr="00502B36">
              <w:rPr>
                <w:rFonts w:cs="Calibri"/>
                <w:bCs/>
              </w:rPr>
              <w:t>ntro 30/6</w:t>
            </w:r>
          </w:p>
        </w:tc>
      </w:tr>
      <w:tr w:rsidR="00F462E6" w:rsidRPr="00B67FEC" w:rsidTr="00E50E41">
        <w:tc>
          <w:tcPr>
            <w:tcW w:w="2518" w:type="dxa"/>
            <w:shd w:val="clear" w:color="auto" w:fill="auto"/>
          </w:tcPr>
          <w:p w:rsidR="00F462E6" w:rsidRPr="00B67FEC" w:rsidRDefault="00F462E6" w:rsidP="00E50E41">
            <w:pPr>
              <w:spacing w:line="276" w:lineRule="auto"/>
              <w:rPr>
                <w:rFonts w:cs="Calibri"/>
                <w:b/>
              </w:rPr>
            </w:pPr>
            <w:r w:rsidRPr="00B67FEC">
              <w:rPr>
                <w:rFonts w:cs="Calibri"/>
                <w:b/>
              </w:rPr>
              <w:t>Tempi di attuazione</w:t>
            </w:r>
          </w:p>
        </w:tc>
        <w:tc>
          <w:tcPr>
            <w:tcW w:w="7562" w:type="dxa"/>
            <w:shd w:val="clear" w:color="auto" w:fill="auto"/>
          </w:tcPr>
          <w:p w:rsidR="00F462E6" w:rsidRPr="00097368" w:rsidRDefault="00F462E6" w:rsidP="00E50E41">
            <w:pPr>
              <w:spacing w:line="276" w:lineRule="auto"/>
              <w:rPr>
                <w:rFonts w:cs="Calibri"/>
                <w:bCs/>
              </w:rPr>
            </w:pPr>
            <w:r w:rsidRPr="00097368">
              <w:rPr>
                <w:rFonts w:cs="Calibri"/>
                <w:bCs/>
              </w:rPr>
              <w:t>Costante nel tempo</w:t>
            </w:r>
          </w:p>
        </w:tc>
      </w:tr>
      <w:tr w:rsidR="00F462E6" w:rsidRPr="00B67FEC" w:rsidTr="00E50E41">
        <w:tc>
          <w:tcPr>
            <w:tcW w:w="2518" w:type="dxa"/>
            <w:shd w:val="clear" w:color="auto" w:fill="auto"/>
          </w:tcPr>
          <w:p w:rsidR="00F462E6" w:rsidRPr="00B67FEC" w:rsidRDefault="00F462E6" w:rsidP="00E50E41">
            <w:pPr>
              <w:spacing w:line="276" w:lineRule="auto"/>
              <w:rPr>
                <w:rFonts w:cs="Calibri"/>
                <w:b/>
              </w:rPr>
            </w:pPr>
            <w:r w:rsidRPr="00B67FEC">
              <w:rPr>
                <w:rFonts w:cs="Calibri"/>
                <w:b/>
              </w:rPr>
              <w:t xml:space="preserve">Responsabili della sua </w:t>
            </w:r>
            <w:r w:rsidRPr="00B67FEC">
              <w:rPr>
                <w:rFonts w:cs="Calibri"/>
                <w:b/>
              </w:rPr>
              <w:lastRenderedPageBreak/>
              <w:t>attuazione</w:t>
            </w:r>
          </w:p>
        </w:tc>
        <w:tc>
          <w:tcPr>
            <w:tcW w:w="7562" w:type="dxa"/>
            <w:shd w:val="clear" w:color="auto" w:fill="auto"/>
          </w:tcPr>
          <w:p w:rsidR="00F462E6" w:rsidRPr="00097368" w:rsidRDefault="00F462E6" w:rsidP="00F2792F">
            <w:pPr>
              <w:spacing w:line="276" w:lineRule="auto"/>
              <w:rPr>
                <w:rFonts w:cs="Calibri"/>
                <w:bCs/>
              </w:rPr>
            </w:pPr>
            <w:r w:rsidRPr="00097368">
              <w:rPr>
                <w:rFonts w:cs="Calibri"/>
                <w:bCs/>
              </w:rPr>
              <w:lastRenderedPageBreak/>
              <w:t xml:space="preserve">RPC per monitoraggio </w:t>
            </w:r>
            <w:r w:rsidR="00F2792F" w:rsidRPr="00097368">
              <w:rPr>
                <w:rFonts w:cs="Calibri"/>
                <w:bCs/>
              </w:rPr>
              <w:t xml:space="preserve">e </w:t>
            </w:r>
            <w:r w:rsidRPr="00097368">
              <w:rPr>
                <w:rFonts w:cs="Calibri"/>
                <w:bCs/>
              </w:rPr>
              <w:t>applicazione della misura</w:t>
            </w:r>
          </w:p>
        </w:tc>
      </w:tr>
      <w:tr w:rsidR="00F462E6" w:rsidRPr="00B67FEC" w:rsidTr="00E50E41">
        <w:tc>
          <w:tcPr>
            <w:tcW w:w="2518" w:type="dxa"/>
            <w:shd w:val="clear" w:color="auto" w:fill="auto"/>
          </w:tcPr>
          <w:p w:rsidR="00F462E6" w:rsidRPr="00B67FEC" w:rsidRDefault="00F462E6" w:rsidP="00E50E41">
            <w:pPr>
              <w:spacing w:line="276" w:lineRule="auto"/>
              <w:rPr>
                <w:rFonts w:cs="Calibri"/>
                <w:b/>
              </w:rPr>
            </w:pPr>
            <w:r w:rsidRPr="00B67FEC">
              <w:rPr>
                <w:rFonts w:cs="Calibri"/>
                <w:b/>
              </w:rPr>
              <w:lastRenderedPageBreak/>
              <w:t>Indicatori di monitoraggio</w:t>
            </w:r>
          </w:p>
        </w:tc>
        <w:tc>
          <w:tcPr>
            <w:tcW w:w="7562" w:type="dxa"/>
            <w:shd w:val="clear" w:color="auto" w:fill="auto"/>
          </w:tcPr>
          <w:p w:rsidR="00F462E6" w:rsidRPr="00097368" w:rsidRDefault="00F462E6" w:rsidP="00E50E41">
            <w:pPr>
              <w:spacing w:line="276" w:lineRule="auto"/>
              <w:rPr>
                <w:rFonts w:cs="Calibri"/>
                <w:bCs/>
              </w:rPr>
            </w:pPr>
            <w:r w:rsidRPr="00097368">
              <w:rPr>
                <w:rFonts w:cs="Calibri"/>
                <w:bCs/>
              </w:rPr>
              <w:t>N. segnalazioni ricevute</w:t>
            </w:r>
          </w:p>
          <w:p w:rsidR="00F462E6" w:rsidRPr="00097368" w:rsidRDefault="00F462E6" w:rsidP="00E50E41">
            <w:pPr>
              <w:spacing w:line="276" w:lineRule="auto"/>
              <w:rPr>
                <w:rFonts w:cs="Calibri"/>
                <w:bCs/>
              </w:rPr>
            </w:pPr>
          </w:p>
          <w:p w:rsidR="00F462E6" w:rsidRPr="00097368" w:rsidRDefault="00F462E6" w:rsidP="00E50E41">
            <w:pPr>
              <w:spacing w:line="276" w:lineRule="auto"/>
              <w:rPr>
                <w:rFonts w:cs="Calibri"/>
                <w:bCs/>
              </w:rPr>
            </w:pPr>
            <w:r w:rsidRPr="00097368">
              <w:rPr>
                <w:rFonts w:cs="Calibri"/>
                <w:bCs/>
              </w:rPr>
              <w:t>Gestione corretta delle segnalazioni ricevute: 100%</w:t>
            </w:r>
          </w:p>
        </w:tc>
      </w:tr>
      <w:tr w:rsidR="00E50E41" w:rsidRPr="00B67FEC" w:rsidTr="00E50E41">
        <w:tc>
          <w:tcPr>
            <w:tcW w:w="2518" w:type="dxa"/>
            <w:shd w:val="clear" w:color="auto" w:fill="auto"/>
          </w:tcPr>
          <w:p w:rsidR="00E50E41" w:rsidRPr="00B67FEC" w:rsidRDefault="00E50E41" w:rsidP="00E50E41">
            <w:pPr>
              <w:spacing w:line="276" w:lineRule="auto"/>
              <w:rPr>
                <w:rFonts w:cs="Calibri"/>
                <w:b/>
              </w:rPr>
            </w:pPr>
            <w:r w:rsidRPr="00B67FEC">
              <w:rPr>
                <w:rFonts w:cs="Calibri"/>
                <w:b/>
              </w:rPr>
              <w:t>Attuazione della misura</w:t>
            </w:r>
          </w:p>
        </w:tc>
        <w:tc>
          <w:tcPr>
            <w:tcW w:w="7562" w:type="dxa"/>
            <w:shd w:val="clear" w:color="auto" w:fill="auto"/>
          </w:tcPr>
          <w:p w:rsidR="00E50E41" w:rsidRPr="00097368" w:rsidRDefault="00E50E41" w:rsidP="00E50E41">
            <w:pPr>
              <w:spacing w:line="276" w:lineRule="auto"/>
              <w:rPr>
                <w:rFonts w:cs="Calibri"/>
                <w:bCs/>
              </w:rPr>
            </w:pPr>
            <w:r w:rsidRPr="00097368">
              <w:rPr>
                <w:rFonts w:cs="Calibri"/>
                <w:bCs/>
              </w:rPr>
              <w:t>N. segnalazioni ricevute</w:t>
            </w:r>
          </w:p>
          <w:p w:rsidR="00E50E41" w:rsidRPr="00097368" w:rsidRDefault="00E50E41" w:rsidP="00E50E41">
            <w:pPr>
              <w:spacing w:line="276" w:lineRule="auto"/>
              <w:rPr>
                <w:rFonts w:cs="Calibri"/>
                <w:bCs/>
              </w:rPr>
            </w:pPr>
            <w:r w:rsidRPr="00097368">
              <w:rPr>
                <w:rFonts w:cs="Calibri"/>
                <w:bCs/>
              </w:rPr>
              <w:t>2018: 0</w:t>
            </w:r>
          </w:p>
          <w:p w:rsidR="00E50E41" w:rsidRDefault="00E50E41" w:rsidP="00E50E41">
            <w:pPr>
              <w:spacing w:line="276" w:lineRule="auto"/>
              <w:rPr>
                <w:rFonts w:cs="Calibri"/>
                <w:bCs/>
              </w:rPr>
            </w:pPr>
            <w:r w:rsidRPr="00097368">
              <w:rPr>
                <w:rFonts w:cs="Calibri"/>
                <w:bCs/>
              </w:rPr>
              <w:t>2019: 0</w:t>
            </w:r>
          </w:p>
          <w:p w:rsidR="00097368" w:rsidRDefault="00097368" w:rsidP="00E50E41">
            <w:pPr>
              <w:spacing w:line="276" w:lineRule="auto"/>
              <w:rPr>
                <w:rFonts w:cs="Calibri"/>
                <w:bCs/>
              </w:rPr>
            </w:pPr>
            <w:r>
              <w:rPr>
                <w:rFonts w:cs="Calibri"/>
                <w:bCs/>
              </w:rPr>
              <w:t>2020: 0</w:t>
            </w:r>
          </w:p>
          <w:p w:rsidR="00E10FCB" w:rsidRPr="00097368" w:rsidRDefault="00E10FCB" w:rsidP="00E50E41">
            <w:pPr>
              <w:spacing w:line="276" w:lineRule="auto"/>
              <w:rPr>
                <w:rFonts w:cs="Calibri"/>
                <w:bCs/>
              </w:rPr>
            </w:pPr>
            <w:r>
              <w:rPr>
                <w:rFonts w:cs="Calibri"/>
                <w:bCs/>
              </w:rPr>
              <w:t>2021: 0</w:t>
            </w:r>
          </w:p>
        </w:tc>
      </w:tr>
    </w:tbl>
    <w:p w:rsidR="00F462E6" w:rsidRPr="00B67FEC" w:rsidRDefault="00F462E6" w:rsidP="0049154B">
      <w:pPr>
        <w:rPr>
          <w:rFonts w:cs="Calibri"/>
          <w:szCs w:val="20"/>
        </w:rPr>
      </w:pPr>
    </w:p>
    <w:p w:rsidR="00887F97" w:rsidRPr="00F2792F" w:rsidRDefault="00F462E6" w:rsidP="004E614E">
      <w:pPr>
        <w:pStyle w:val="Titolo3"/>
      </w:pPr>
      <w:bookmarkStart w:id="187" w:name="_Toc28966905"/>
      <w:bookmarkStart w:id="188" w:name="_Toc28967125"/>
      <w:bookmarkStart w:id="189" w:name="_Toc28967378"/>
      <w:bookmarkStart w:id="190" w:name="_Toc101602040"/>
      <w:r w:rsidRPr="00F2792F">
        <w:t xml:space="preserve">E. </w:t>
      </w:r>
      <w:r w:rsidR="00C728EC" w:rsidRPr="00F2792F">
        <w:t>Formazione</w:t>
      </w:r>
      <w:bookmarkEnd w:id="175"/>
      <w:bookmarkEnd w:id="187"/>
      <w:bookmarkEnd w:id="188"/>
      <w:bookmarkEnd w:id="189"/>
      <w:bookmarkEnd w:id="190"/>
    </w:p>
    <w:p w:rsidR="00034E20" w:rsidRPr="00B67FEC" w:rsidRDefault="00024F06" w:rsidP="0049154B">
      <w:pPr>
        <w:rPr>
          <w:rFonts w:eastAsia="MS Mincho" w:cs="Calibri"/>
          <w:lang w:eastAsia="ja-JP"/>
        </w:rPr>
      </w:pPr>
      <w:r w:rsidRPr="00B67FEC">
        <w:rPr>
          <w:rFonts w:eastAsia="MS Mincho" w:cs="Calibri"/>
          <w:lang w:eastAsia="ja-JP"/>
        </w:rPr>
        <w:t>L</w:t>
      </w:r>
      <w:r w:rsidR="006C1A37" w:rsidRPr="00B67FEC">
        <w:rPr>
          <w:rFonts w:eastAsia="MS Mincho" w:cs="Calibri"/>
          <w:lang w:eastAsia="ja-JP"/>
        </w:rPr>
        <w:t xml:space="preserve">a formazione del personale risulta </w:t>
      </w:r>
      <w:r w:rsidRPr="00B67FEC">
        <w:rPr>
          <w:rFonts w:eastAsia="MS Mincho" w:cs="Calibri"/>
          <w:lang w:eastAsia="ja-JP"/>
        </w:rPr>
        <w:t>uno degli strumenti principali per la prevenzione della corruzione.</w:t>
      </w:r>
    </w:p>
    <w:p w:rsidR="00034E20" w:rsidRPr="00B67FEC" w:rsidRDefault="00034E20" w:rsidP="0049154B">
      <w:pPr>
        <w:rPr>
          <w:rFonts w:eastAsia="MS Mincho" w:cs="Calibri"/>
          <w:lang w:eastAsia="ja-JP"/>
        </w:rPr>
      </w:pPr>
      <w:r w:rsidRPr="00B67FEC">
        <w:rPr>
          <w:rFonts w:eastAsia="MS Mincho" w:cs="Calibri"/>
          <w:lang w:eastAsia="ja-JP"/>
        </w:rPr>
        <w:t xml:space="preserve">Il </w:t>
      </w:r>
      <w:r w:rsidR="00BF2915" w:rsidRPr="00B67FEC">
        <w:rPr>
          <w:rFonts w:eastAsia="MS Mincho" w:cs="Calibri"/>
          <w:lang w:eastAsia="ja-JP"/>
        </w:rPr>
        <w:t>Responsabile per la prevenzione della</w:t>
      </w:r>
      <w:r w:rsidRPr="00B67FEC">
        <w:rPr>
          <w:rFonts w:eastAsia="MS Mincho" w:cs="Calibri"/>
          <w:lang w:eastAsia="ja-JP"/>
        </w:rPr>
        <w:t xml:space="preserve"> corruzione</w:t>
      </w:r>
      <w:r w:rsidR="00AA1B90" w:rsidRPr="00B67FEC">
        <w:rPr>
          <w:rFonts w:eastAsia="MS Mincho" w:cs="Calibri"/>
          <w:lang w:eastAsia="ja-JP"/>
        </w:rPr>
        <w:t xml:space="preserve"> </w:t>
      </w:r>
      <w:r w:rsidRPr="00B67FEC">
        <w:rPr>
          <w:rFonts w:eastAsia="MS Mincho" w:cs="Calibri"/>
          <w:lang w:eastAsia="ja-JP"/>
        </w:rPr>
        <w:t>deve prevedere</w:t>
      </w:r>
      <w:r w:rsidR="002C373A" w:rsidRPr="00B67FEC">
        <w:rPr>
          <w:rFonts w:eastAsia="MS Mincho" w:cs="Calibri"/>
          <w:lang w:eastAsia="ja-JP"/>
        </w:rPr>
        <w:t xml:space="preserve"> </w:t>
      </w:r>
      <w:r w:rsidRPr="00B67FEC">
        <w:rPr>
          <w:rFonts w:eastAsia="MS Mincho" w:cs="Calibri"/>
          <w:lang w:eastAsia="ja-JP"/>
        </w:rPr>
        <w:t>– nell’ambito</w:t>
      </w:r>
      <w:r w:rsidR="00AA1B90" w:rsidRPr="00B67FEC">
        <w:rPr>
          <w:rFonts w:eastAsia="MS Mincho" w:cs="Calibri"/>
          <w:lang w:eastAsia="ja-JP"/>
        </w:rPr>
        <w:t xml:space="preserve"> delle iniziative </w:t>
      </w:r>
      <w:r w:rsidRPr="00B67FEC">
        <w:rPr>
          <w:rFonts w:eastAsia="MS Mincho" w:cs="Calibri"/>
          <w:lang w:eastAsia="ja-JP"/>
        </w:rPr>
        <w:t>formativ</w:t>
      </w:r>
      <w:r w:rsidR="00AA1B90" w:rsidRPr="00B67FEC">
        <w:rPr>
          <w:rFonts w:eastAsia="MS Mincho" w:cs="Calibri"/>
          <w:lang w:eastAsia="ja-JP"/>
        </w:rPr>
        <w:t>e annuali</w:t>
      </w:r>
      <w:r w:rsidRPr="00B67FEC">
        <w:rPr>
          <w:rFonts w:eastAsia="MS Mincho" w:cs="Calibri"/>
          <w:lang w:eastAsia="ja-JP"/>
        </w:rPr>
        <w:t xml:space="preserve"> – </w:t>
      </w:r>
      <w:r w:rsidR="00AA1B90" w:rsidRPr="00B67FEC">
        <w:rPr>
          <w:rFonts w:eastAsia="MS Mincho" w:cs="Calibri"/>
          <w:lang w:eastAsia="ja-JP"/>
        </w:rPr>
        <w:t>adeguati interventi dedicati</w:t>
      </w:r>
      <w:r w:rsidR="00E950DB" w:rsidRPr="00B67FEC">
        <w:rPr>
          <w:rFonts w:eastAsia="MS Mincho" w:cs="Calibri"/>
          <w:lang w:eastAsia="ja-JP"/>
        </w:rPr>
        <w:t xml:space="preserve"> alla</w:t>
      </w:r>
      <w:r w:rsidRPr="00B67FEC">
        <w:rPr>
          <w:rFonts w:eastAsia="MS Mincho" w:cs="Calibri"/>
          <w:lang w:eastAsia="ja-JP"/>
        </w:rPr>
        <w:t xml:space="preserve"> formazione </w:t>
      </w:r>
      <w:r w:rsidR="00AA1B90" w:rsidRPr="00B67FEC">
        <w:rPr>
          <w:rFonts w:eastAsia="MS Mincho" w:cs="Calibri"/>
          <w:lang w:eastAsia="ja-JP"/>
        </w:rPr>
        <w:t xml:space="preserve">continua </w:t>
      </w:r>
      <w:r w:rsidRPr="00B67FEC">
        <w:rPr>
          <w:rFonts w:eastAsia="MS Mincho" w:cs="Calibri"/>
          <w:lang w:eastAsia="ja-JP"/>
        </w:rPr>
        <w:t>riguardante le norme e le metodologie per la prevenzione della corruzione.</w:t>
      </w:r>
    </w:p>
    <w:p w:rsidR="00034E20" w:rsidRPr="00B67FEC" w:rsidRDefault="00034E20" w:rsidP="0049154B">
      <w:pPr>
        <w:rPr>
          <w:rFonts w:eastAsia="MS Mincho" w:cs="Calibri"/>
          <w:lang w:eastAsia="ja-JP"/>
        </w:rPr>
      </w:pPr>
      <w:r w:rsidRPr="00B67FEC">
        <w:rPr>
          <w:rFonts w:eastAsia="MS Mincho" w:cs="Calibri"/>
          <w:lang w:eastAsia="ja-JP"/>
        </w:rPr>
        <w:t>L’aspetto formativo deve definire le buone prassi per evitare fenomeni corruttivi attraverso i principi della trasp</w:t>
      </w:r>
      <w:r w:rsidR="00814916" w:rsidRPr="00B67FEC">
        <w:rPr>
          <w:rFonts w:eastAsia="MS Mincho" w:cs="Calibri"/>
          <w:lang w:eastAsia="ja-JP"/>
        </w:rPr>
        <w:t>arenza dell’attività, l’applicazione delle misure di contra</w:t>
      </w:r>
      <w:r w:rsidR="00A47D29" w:rsidRPr="00B67FEC">
        <w:rPr>
          <w:rFonts w:eastAsia="MS Mincho" w:cs="Calibri"/>
          <w:lang w:eastAsia="ja-JP"/>
        </w:rPr>
        <w:t>s</w:t>
      </w:r>
      <w:r w:rsidR="00814916" w:rsidRPr="00B67FEC">
        <w:rPr>
          <w:rFonts w:eastAsia="MS Mincho" w:cs="Calibri"/>
          <w:lang w:eastAsia="ja-JP"/>
        </w:rPr>
        <w:t>to alla corruzione, l’applicazione de</w:t>
      </w:r>
      <w:r w:rsidR="00A47D29" w:rsidRPr="00B67FEC">
        <w:rPr>
          <w:rFonts w:eastAsia="MS Mincho" w:cs="Calibri"/>
          <w:lang w:eastAsia="ja-JP"/>
        </w:rPr>
        <w:t>l</w:t>
      </w:r>
      <w:r w:rsidR="00814916" w:rsidRPr="00B67FEC">
        <w:rPr>
          <w:rFonts w:eastAsia="MS Mincho" w:cs="Calibri"/>
          <w:lang w:eastAsia="ja-JP"/>
        </w:rPr>
        <w:t xml:space="preserve"> Codic</w:t>
      </w:r>
      <w:r w:rsidR="00A47D29" w:rsidRPr="00B67FEC">
        <w:rPr>
          <w:rFonts w:eastAsia="MS Mincho" w:cs="Calibri"/>
          <w:lang w:eastAsia="ja-JP"/>
        </w:rPr>
        <w:t>e</w:t>
      </w:r>
      <w:r w:rsidR="00814916" w:rsidRPr="00B67FEC">
        <w:rPr>
          <w:rFonts w:eastAsia="MS Mincho" w:cs="Calibri"/>
          <w:lang w:eastAsia="ja-JP"/>
        </w:rPr>
        <w:t xml:space="preserve"> di comportamento</w:t>
      </w:r>
      <w:r w:rsidR="00E950DB" w:rsidRPr="00B67FEC">
        <w:rPr>
          <w:rFonts w:eastAsia="MS Mincho" w:cs="Calibri"/>
          <w:lang w:eastAsia="ja-JP"/>
        </w:rPr>
        <w:t>.</w:t>
      </w:r>
    </w:p>
    <w:p w:rsidR="00034E20" w:rsidRPr="00B67FEC" w:rsidRDefault="00034E20" w:rsidP="0049154B">
      <w:pPr>
        <w:rPr>
          <w:rFonts w:eastAsia="MS Mincho" w:cs="Calibri"/>
          <w:lang w:eastAsia="ja-JP"/>
        </w:rPr>
      </w:pPr>
      <w:r w:rsidRPr="00B67FEC">
        <w:rPr>
          <w:rFonts w:eastAsia="MS Mincho" w:cs="Calibri"/>
          <w:lang w:eastAsia="ja-JP"/>
        </w:rPr>
        <w:t>L’obiettivo è di creare quindi un sistema organizzativo di contrasto fondato sia sulle prassi amministrative sia sulla formazione del personale.</w:t>
      </w:r>
    </w:p>
    <w:p w:rsidR="00CB6157" w:rsidRPr="00B67FEC" w:rsidRDefault="00CB6157" w:rsidP="0049154B">
      <w:pPr>
        <w:rPr>
          <w:rFonts w:eastAsia="MS Mincho" w:cs="Calibri"/>
          <w:lang w:eastAsia="ja-JP"/>
        </w:rPr>
      </w:pPr>
    </w:p>
    <w:p w:rsidR="00F462E6" w:rsidRPr="00B67FEC" w:rsidRDefault="00F462E6" w:rsidP="0049154B">
      <w:pPr>
        <w:rPr>
          <w:rFonts w:cs="Calibri"/>
          <w:b/>
        </w:rPr>
      </w:pPr>
      <w:r w:rsidRPr="00B67FEC">
        <w:rPr>
          <w:rFonts w:cs="Calibri"/>
          <w:b/>
        </w:rPr>
        <w:t>Modalità della programmazione della misura: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62"/>
      </w:tblGrid>
      <w:tr w:rsidR="00F462E6" w:rsidRPr="00B67FEC" w:rsidTr="00E50E41">
        <w:tc>
          <w:tcPr>
            <w:tcW w:w="2518" w:type="dxa"/>
            <w:shd w:val="clear" w:color="auto" w:fill="auto"/>
          </w:tcPr>
          <w:p w:rsidR="00F462E6" w:rsidRPr="00E10FCB" w:rsidRDefault="00F462E6" w:rsidP="00E50E41">
            <w:pPr>
              <w:spacing w:line="276" w:lineRule="auto"/>
              <w:jc w:val="left"/>
              <w:rPr>
                <w:rFonts w:cs="Calibri"/>
                <w:b/>
              </w:rPr>
            </w:pPr>
            <w:r w:rsidRPr="00E10FCB">
              <w:rPr>
                <w:rFonts w:cs="Calibri"/>
                <w:b/>
              </w:rPr>
              <w:t>Fasi/attività per la sua attuazione</w:t>
            </w:r>
          </w:p>
        </w:tc>
        <w:tc>
          <w:tcPr>
            <w:tcW w:w="7562" w:type="dxa"/>
            <w:shd w:val="clear" w:color="auto" w:fill="auto"/>
          </w:tcPr>
          <w:p w:rsidR="00097368" w:rsidRPr="00E10FCB" w:rsidRDefault="00097368" w:rsidP="00097368">
            <w:pPr>
              <w:spacing w:line="240" w:lineRule="auto"/>
            </w:pPr>
            <w:r w:rsidRPr="00E10FCB">
              <w:t>Per il 202</w:t>
            </w:r>
            <w:r w:rsidR="00E10FCB">
              <w:t>2</w:t>
            </w:r>
            <w:r w:rsidRPr="00E10FCB">
              <w:t xml:space="preserve">, si </w:t>
            </w:r>
            <w:r w:rsidR="00AA4E10" w:rsidRPr="00E10FCB">
              <w:t>attuerà la</w:t>
            </w:r>
            <w:r w:rsidRPr="00E10FCB">
              <w:t xml:space="preserve"> misura come sopra descritta, perseguendo i seguenti traguardi:</w:t>
            </w:r>
          </w:p>
          <w:p w:rsidR="00097368" w:rsidRPr="00E10FCB" w:rsidRDefault="00097368" w:rsidP="00097368">
            <w:pPr>
              <w:spacing w:line="240" w:lineRule="auto"/>
              <w:rPr>
                <w:b/>
              </w:rPr>
            </w:pPr>
            <w:r w:rsidRPr="00E10FCB">
              <w:rPr>
                <w:b/>
              </w:rPr>
              <w:t>Ore formazione RPC/Ammin</w:t>
            </w:r>
            <w:r w:rsidR="005E75DF">
              <w:rPr>
                <w:b/>
              </w:rPr>
              <w:t>i</w:t>
            </w:r>
            <w:r w:rsidRPr="00E10FCB">
              <w:rPr>
                <w:b/>
              </w:rPr>
              <w:t>strazione</w:t>
            </w:r>
          </w:p>
          <w:p w:rsidR="00097368" w:rsidRPr="00E10FCB" w:rsidRDefault="00097368" w:rsidP="00097368">
            <w:pPr>
              <w:spacing w:line="240" w:lineRule="auto"/>
            </w:pPr>
            <w:r w:rsidRPr="00E10FCB">
              <w:t>n. 8</w:t>
            </w:r>
          </w:p>
          <w:p w:rsidR="00097368" w:rsidRPr="00E10FCB" w:rsidRDefault="00097368" w:rsidP="00097368">
            <w:pPr>
              <w:spacing w:line="240" w:lineRule="auto"/>
              <w:rPr>
                <w:b/>
              </w:rPr>
            </w:pPr>
            <w:r w:rsidRPr="00E10FCB">
              <w:rPr>
                <w:b/>
              </w:rPr>
              <w:t xml:space="preserve">Ore formazione Personale Azienda </w:t>
            </w:r>
          </w:p>
          <w:p w:rsidR="00097368" w:rsidRPr="00E10FCB" w:rsidRDefault="00097368" w:rsidP="00097368">
            <w:pPr>
              <w:spacing w:line="240" w:lineRule="auto"/>
            </w:pPr>
            <w:r w:rsidRPr="00E10FCB">
              <w:t>n. 2 su Codice di Comportamento/Etico MOG 231</w:t>
            </w:r>
          </w:p>
          <w:p w:rsidR="00F462E6" w:rsidRPr="00B67FEC" w:rsidRDefault="00097368" w:rsidP="00097368">
            <w:pPr>
              <w:spacing w:line="276" w:lineRule="auto"/>
              <w:rPr>
                <w:rFonts w:cs="Calibri"/>
                <w:b/>
              </w:rPr>
            </w:pPr>
            <w:r w:rsidRPr="00E10FCB">
              <w:t>n. 2 su Anticorruzione</w:t>
            </w:r>
          </w:p>
        </w:tc>
      </w:tr>
      <w:tr w:rsidR="00F462E6" w:rsidRPr="00B67FEC" w:rsidTr="00E50E41">
        <w:tc>
          <w:tcPr>
            <w:tcW w:w="2518" w:type="dxa"/>
            <w:shd w:val="clear" w:color="auto" w:fill="auto"/>
          </w:tcPr>
          <w:p w:rsidR="00F462E6" w:rsidRPr="00B67FEC" w:rsidRDefault="00F462E6" w:rsidP="00E50E41">
            <w:pPr>
              <w:spacing w:line="276" w:lineRule="auto"/>
              <w:jc w:val="left"/>
              <w:rPr>
                <w:rFonts w:cs="Calibri"/>
                <w:b/>
              </w:rPr>
            </w:pPr>
            <w:r w:rsidRPr="00B67FEC">
              <w:rPr>
                <w:rFonts w:cs="Calibri"/>
                <w:b/>
              </w:rPr>
              <w:t>Tempi di attuazione</w:t>
            </w:r>
          </w:p>
        </w:tc>
        <w:tc>
          <w:tcPr>
            <w:tcW w:w="7562" w:type="dxa"/>
            <w:shd w:val="clear" w:color="auto" w:fill="auto"/>
          </w:tcPr>
          <w:p w:rsidR="00F462E6" w:rsidRPr="00097368" w:rsidRDefault="00F462E6" w:rsidP="00E50E41">
            <w:pPr>
              <w:spacing w:line="276" w:lineRule="auto"/>
              <w:rPr>
                <w:rFonts w:cs="Calibri"/>
                <w:bCs/>
              </w:rPr>
            </w:pPr>
            <w:r w:rsidRPr="00097368">
              <w:rPr>
                <w:rFonts w:cs="Calibri"/>
                <w:bCs/>
              </w:rPr>
              <w:t>Costante nel tempo</w:t>
            </w:r>
          </w:p>
        </w:tc>
      </w:tr>
      <w:tr w:rsidR="00F462E6" w:rsidRPr="00B67FEC" w:rsidTr="00E50E41">
        <w:tc>
          <w:tcPr>
            <w:tcW w:w="2518" w:type="dxa"/>
            <w:shd w:val="clear" w:color="auto" w:fill="auto"/>
          </w:tcPr>
          <w:p w:rsidR="00F462E6" w:rsidRPr="00B67FEC" w:rsidRDefault="00F462E6" w:rsidP="00E50E41">
            <w:pPr>
              <w:spacing w:line="276" w:lineRule="auto"/>
              <w:jc w:val="left"/>
              <w:rPr>
                <w:rFonts w:cs="Calibri"/>
                <w:b/>
              </w:rPr>
            </w:pPr>
            <w:r w:rsidRPr="00B67FEC">
              <w:rPr>
                <w:rFonts w:cs="Calibri"/>
                <w:b/>
              </w:rPr>
              <w:t>Responsabili della sua attuazione</w:t>
            </w:r>
          </w:p>
        </w:tc>
        <w:tc>
          <w:tcPr>
            <w:tcW w:w="7562" w:type="dxa"/>
            <w:shd w:val="clear" w:color="auto" w:fill="auto"/>
          </w:tcPr>
          <w:p w:rsidR="00F462E6" w:rsidRPr="00097368" w:rsidRDefault="00F462E6" w:rsidP="00E50E41">
            <w:pPr>
              <w:spacing w:line="276" w:lineRule="auto"/>
              <w:rPr>
                <w:rFonts w:cs="Calibri"/>
                <w:bCs/>
              </w:rPr>
            </w:pPr>
            <w:r w:rsidRPr="00097368">
              <w:rPr>
                <w:rFonts w:cs="Calibri"/>
                <w:bCs/>
              </w:rPr>
              <w:t xml:space="preserve">RPC per svolgimento attività formativa verso </w:t>
            </w:r>
            <w:r w:rsidR="00C1732C" w:rsidRPr="00097368">
              <w:rPr>
                <w:rFonts w:cs="Calibri"/>
                <w:bCs/>
              </w:rPr>
              <w:t>Responsabili di Unità Organizzativa</w:t>
            </w:r>
            <w:r w:rsidRPr="00097368">
              <w:rPr>
                <w:rFonts w:cs="Calibri"/>
                <w:bCs/>
              </w:rPr>
              <w:t xml:space="preserve"> e Personale</w:t>
            </w:r>
          </w:p>
        </w:tc>
      </w:tr>
      <w:tr w:rsidR="00F462E6" w:rsidRPr="00B67FEC" w:rsidTr="00E50E41">
        <w:tc>
          <w:tcPr>
            <w:tcW w:w="2518" w:type="dxa"/>
            <w:shd w:val="clear" w:color="auto" w:fill="auto"/>
          </w:tcPr>
          <w:p w:rsidR="00F462E6" w:rsidRPr="00B67FEC" w:rsidRDefault="00F462E6" w:rsidP="00E50E41">
            <w:pPr>
              <w:spacing w:line="276" w:lineRule="auto"/>
              <w:jc w:val="left"/>
              <w:rPr>
                <w:rFonts w:cs="Calibri"/>
                <w:b/>
              </w:rPr>
            </w:pPr>
            <w:r w:rsidRPr="00B67FEC">
              <w:rPr>
                <w:rFonts w:cs="Calibri"/>
                <w:b/>
              </w:rPr>
              <w:t>Indicatori di monitoraggio</w:t>
            </w:r>
          </w:p>
        </w:tc>
        <w:tc>
          <w:tcPr>
            <w:tcW w:w="7562" w:type="dxa"/>
            <w:shd w:val="clear" w:color="auto" w:fill="auto"/>
          </w:tcPr>
          <w:p w:rsidR="00F462E6" w:rsidRPr="00097368" w:rsidRDefault="00F462E6" w:rsidP="00E50E41">
            <w:pPr>
              <w:spacing w:line="276" w:lineRule="auto"/>
              <w:rPr>
                <w:rFonts w:cs="Calibri"/>
                <w:bCs/>
              </w:rPr>
            </w:pPr>
            <w:r w:rsidRPr="00097368">
              <w:rPr>
                <w:rFonts w:cs="Calibri"/>
                <w:bCs/>
              </w:rPr>
              <w:t>N. ore formative effettuate</w:t>
            </w:r>
          </w:p>
          <w:p w:rsidR="00F462E6" w:rsidRPr="00097368" w:rsidRDefault="00F462E6" w:rsidP="00E50E41">
            <w:pPr>
              <w:spacing w:line="276" w:lineRule="auto"/>
              <w:rPr>
                <w:rFonts w:cs="Calibri"/>
                <w:bCs/>
              </w:rPr>
            </w:pPr>
          </w:p>
          <w:p w:rsidR="00F462E6" w:rsidRPr="00097368" w:rsidRDefault="00F462E6" w:rsidP="00E50E41">
            <w:pPr>
              <w:spacing w:line="276" w:lineRule="auto"/>
              <w:rPr>
                <w:rFonts w:cs="Calibri"/>
                <w:bCs/>
              </w:rPr>
            </w:pPr>
            <w:r w:rsidRPr="00097368">
              <w:rPr>
                <w:rFonts w:cs="Calibri"/>
                <w:bCs/>
              </w:rPr>
              <w:t>Personale formato su personale presente: 100%</w:t>
            </w:r>
          </w:p>
        </w:tc>
      </w:tr>
      <w:tr w:rsidR="00E50E41" w:rsidRPr="00B67FEC" w:rsidTr="00E50E41">
        <w:tc>
          <w:tcPr>
            <w:tcW w:w="2518" w:type="dxa"/>
            <w:shd w:val="clear" w:color="auto" w:fill="auto"/>
          </w:tcPr>
          <w:p w:rsidR="00E50E41" w:rsidRPr="00B67FEC" w:rsidRDefault="00E50E41" w:rsidP="00E50E41">
            <w:pPr>
              <w:spacing w:line="276" w:lineRule="auto"/>
              <w:jc w:val="left"/>
              <w:rPr>
                <w:rFonts w:cs="Calibri"/>
                <w:b/>
              </w:rPr>
            </w:pPr>
            <w:r w:rsidRPr="00B67FEC">
              <w:rPr>
                <w:rFonts w:cs="Calibri"/>
                <w:b/>
              </w:rPr>
              <w:t>Attuazione della misura</w:t>
            </w:r>
          </w:p>
        </w:tc>
        <w:tc>
          <w:tcPr>
            <w:tcW w:w="7562" w:type="dxa"/>
            <w:shd w:val="clear" w:color="auto" w:fill="auto"/>
          </w:tcPr>
          <w:p w:rsidR="00E50E41" w:rsidRPr="00097368" w:rsidRDefault="00E50E41" w:rsidP="00E50E41">
            <w:pPr>
              <w:spacing w:line="276" w:lineRule="auto"/>
              <w:rPr>
                <w:rFonts w:cs="Calibri"/>
                <w:bCs/>
              </w:rPr>
            </w:pPr>
            <w:r w:rsidRPr="00097368">
              <w:rPr>
                <w:rFonts w:cs="Calibri"/>
                <w:bCs/>
              </w:rPr>
              <w:t>N. ore formative effettuate</w:t>
            </w:r>
          </w:p>
          <w:p w:rsidR="00E50E41" w:rsidRPr="00097368" w:rsidRDefault="00E50E41" w:rsidP="00E50E41">
            <w:pPr>
              <w:spacing w:line="276" w:lineRule="auto"/>
              <w:rPr>
                <w:rFonts w:cs="Calibri"/>
                <w:bCs/>
              </w:rPr>
            </w:pPr>
            <w:r w:rsidRPr="00097368">
              <w:rPr>
                <w:rFonts w:cs="Calibri"/>
                <w:bCs/>
              </w:rPr>
              <w:t xml:space="preserve">2018: </w:t>
            </w:r>
            <w:r w:rsidR="006C1A37" w:rsidRPr="00097368">
              <w:rPr>
                <w:rFonts w:cs="Calibri"/>
                <w:bCs/>
              </w:rPr>
              <w:t>8</w:t>
            </w:r>
          </w:p>
          <w:p w:rsidR="00E50E41" w:rsidRDefault="00E50E41" w:rsidP="00E50E41">
            <w:pPr>
              <w:spacing w:line="276" w:lineRule="auto"/>
              <w:rPr>
                <w:rFonts w:cs="Calibri"/>
                <w:bCs/>
              </w:rPr>
            </w:pPr>
            <w:r w:rsidRPr="00097368">
              <w:rPr>
                <w:rFonts w:cs="Calibri"/>
                <w:bCs/>
              </w:rPr>
              <w:t>2019: 8</w:t>
            </w:r>
          </w:p>
          <w:p w:rsidR="00097368" w:rsidRDefault="00097368" w:rsidP="00E50E41">
            <w:pPr>
              <w:spacing w:line="276" w:lineRule="auto"/>
              <w:rPr>
                <w:rFonts w:cs="Calibri"/>
                <w:bCs/>
              </w:rPr>
            </w:pPr>
            <w:r>
              <w:rPr>
                <w:rFonts w:cs="Calibri"/>
                <w:bCs/>
              </w:rPr>
              <w:t>2020: 8</w:t>
            </w:r>
          </w:p>
          <w:p w:rsidR="00E50E41" w:rsidRPr="00097368" w:rsidRDefault="00E10FCB" w:rsidP="00E50E41">
            <w:pPr>
              <w:spacing w:line="276" w:lineRule="auto"/>
              <w:rPr>
                <w:rFonts w:cs="Calibri"/>
                <w:bCs/>
              </w:rPr>
            </w:pPr>
            <w:r>
              <w:rPr>
                <w:rFonts w:cs="Calibri"/>
                <w:bCs/>
              </w:rPr>
              <w:t>2021: 8</w:t>
            </w:r>
          </w:p>
          <w:p w:rsidR="00E50E41" w:rsidRPr="00097368" w:rsidRDefault="00E50E41" w:rsidP="00E50E41">
            <w:pPr>
              <w:spacing w:line="276" w:lineRule="auto"/>
              <w:rPr>
                <w:rFonts w:cs="Calibri"/>
                <w:bCs/>
              </w:rPr>
            </w:pPr>
            <w:r w:rsidRPr="00097368">
              <w:rPr>
                <w:rFonts w:cs="Calibri"/>
                <w:bCs/>
              </w:rPr>
              <w:t xml:space="preserve">Personale formato su personale presente: </w:t>
            </w:r>
            <w:r w:rsidR="006C1A37" w:rsidRPr="00097368">
              <w:rPr>
                <w:rFonts w:cs="Calibri"/>
                <w:bCs/>
              </w:rPr>
              <w:t>10</w:t>
            </w:r>
            <w:r w:rsidRPr="00097368">
              <w:rPr>
                <w:rFonts w:cs="Calibri"/>
                <w:bCs/>
              </w:rPr>
              <w:t>0%</w:t>
            </w:r>
          </w:p>
        </w:tc>
      </w:tr>
    </w:tbl>
    <w:p w:rsidR="00097368" w:rsidRDefault="00097368" w:rsidP="004E614E">
      <w:pPr>
        <w:pStyle w:val="Titolo3"/>
      </w:pPr>
      <w:bookmarkStart w:id="191" w:name="_Toc28966906"/>
      <w:bookmarkStart w:id="192" w:name="_Toc28967126"/>
      <w:bookmarkStart w:id="193" w:name="_Toc28967379"/>
      <w:bookmarkStart w:id="194" w:name="_Toc376077312"/>
      <w:bookmarkStart w:id="195" w:name="_Toc28881642"/>
    </w:p>
    <w:p w:rsidR="00F462E6" w:rsidRPr="008F710D" w:rsidRDefault="00B264D6" w:rsidP="004E614E">
      <w:pPr>
        <w:pStyle w:val="Titolo3"/>
      </w:pPr>
      <w:bookmarkStart w:id="196" w:name="_Toc101602041"/>
      <w:r w:rsidRPr="008F710D">
        <w:t>F. T</w:t>
      </w:r>
      <w:r w:rsidR="00C728EC" w:rsidRPr="008F710D">
        <w:t>rasparenza</w:t>
      </w:r>
      <w:bookmarkEnd w:id="191"/>
      <w:bookmarkEnd w:id="192"/>
      <w:bookmarkEnd w:id="193"/>
      <w:bookmarkEnd w:id="196"/>
    </w:p>
    <w:bookmarkEnd w:id="194"/>
    <w:bookmarkEnd w:id="195"/>
    <w:p w:rsidR="00E50E41" w:rsidRPr="00B67FEC" w:rsidRDefault="00E50E41" w:rsidP="00C728EC">
      <w:pPr>
        <w:rPr>
          <w:rFonts w:eastAsia="MS Mincho" w:cs="Calibri"/>
          <w:b/>
          <w:lang w:eastAsia="ja-JP"/>
        </w:rPr>
      </w:pPr>
      <w:r w:rsidRPr="00B67FEC">
        <w:rPr>
          <w:rFonts w:eastAsia="MS Mincho" w:cs="Calibri"/>
          <w:b/>
          <w:lang w:eastAsia="ja-JP"/>
        </w:rPr>
        <w:t>Descrizione della misura</w:t>
      </w:r>
    </w:p>
    <w:p w:rsidR="00D67677" w:rsidRPr="00B67FEC" w:rsidRDefault="00D67677" w:rsidP="00C728EC">
      <w:pPr>
        <w:rPr>
          <w:rFonts w:eastAsia="MS Mincho" w:cs="Calibri"/>
          <w:lang w:eastAsia="ja-JP"/>
        </w:rPr>
      </w:pPr>
      <w:r w:rsidRPr="00B67FEC">
        <w:rPr>
          <w:rFonts w:eastAsia="MS Mincho" w:cs="Calibri"/>
          <w:lang w:eastAsia="ja-JP"/>
        </w:rPr>
        <w:lastRenderedPageBreak/>
        <w:t>La trasparenza rappresenta uno strumento fondamentale per la prevenzione della corruzione e per l’efficienza e l’efficacia dell’azione amministrativa. Da questo punto di vista essa, infatti, consente:</w:t>
      </w:r>
    </w:p>
    <w:p w:rsidR="00D67677" w:rsidRPr="00B67FEC" w:rsidRDefault="00D67677" w:rsidP="00B67FEC">
      <w:pPr>
        <w:numPr>
          <w:ilvl w:val="0"/>
          <w:numId w:val="6"/>
        </w:numPr>
        <w:rPr>
          <w:rFonts w:eastAsia="MS Mincho" w:cs="Calibri"/>
          <w:lang w:eastAsia="ja-JP"/>
        </w:rPr>
      </w:pPr>
      <w:r w:rsidRPr="00B67FEC">
        <w:rPr>
          <w:rFonts w:eastAsia="MS Mincho" w:cs="Calibri"/>
          <w:lang w:eastAsia="ja-JP"/>
        </w:rPr>
        <w:t>la conoscenza del responsabile per ciascun procedimento amministrativo e, più in generale, per ciascuna area di attività dell’amministrazione e, per tal via, la responsabilizzazione dei funzionari;</w:t>
      </w:r>
    </w:p>
    <w:p w:rsidR="00D67677" w:rsidRPr="00B67FEC" w:rsidRDefault="00D67677" w:rsidP="00B67FEC">
      <w:pPr>
        <w:numPr>
          <w:ilvl w:val="0"/>
          <w:numId w:val="6"/>
        </w:numPr>
        <w:rPr>
          <w:rFonts w:eastAsia="MS Mincho" w:cs="Calibri"/>
          <w:lang w:eastAsia="ja-JP"/>
        </w:rPr>
      </w:pPr>
      <w:r w:rsidRPr="00B67FEC">
        <w:rPr>
          <w:rFonts w:eastAsia="MS Mincho" w:cs="Calibri"/>
          <w:lang w:eastAsia="ja-JP"/>
        </w:rPr>
        <w:t>la conoscenza dei presupposti per l’avvio e lo svolgimento del procedimento e, per tal via, se ci sono dei “blocchi” anomali del procedimento stesso;</w:t>
      </w:r>
    </w:p>
    <w:p w:rsidR="00D67677" w:rsidRPr="00B67FEC" w:rsidRDefault="00D67677" w:rsidP="00B67FEC">
      <w:pPr>
        <w:numPr>
          <w:ilvl w:val="0"/>
          <w:numId w:val="6"/>
        </w:numPr>
        <w:rPr>
          <w:rFonts w:eastAsia="MS Mincho" w:cs="Calibri"/>
          <w:lang w:eastAsia="ja-JP"/>
        </w:rPr>
      </w:pPr>
      <w:r w:rsidRPr="00B67FEC">
        <w:rPr>
          <w:rFonts w:eastAsia="MS Mincho" w:cs="Calibri"/>
          <w:lang w:eastAsia="ja-JP"/>
        </w:rPr>
        <w:t>la conoscenza del modo in cui le risorse pubbliche sono impiegate e, per tal via, se l’utilizzo di risorse pubbliche è deviato verso finalità improprie;</w:t>
      </w:r>
    </w:p>
    <w:p w:rsidR="00D67677" w:rsidRPr="00B67FEC" w:rsidRDefault="00D67677" w:rsidP="00B67FEC">
      <w:pPr>
        <w:numPr>
          <w:ilvl w:val="0"/>
          <w:numId w:val="6"/>
        </w:numPr>
        <w:rPr>
          <w:rFonts w:eastAsia="MS Mincho" w:cs="Calibri"/>
          <w:lang w:eastAsia="ja-JP"/>
        </w:rPr>
      </w:pPr>
      <w:r w:rsidRPr="00B67FEC">
        <w:rPr>
          <w:rFonts w:eastAsia="MS Mincho" w:cs="Calibri"/>
          <w:lang w:eastAsia="ja-JP"/>
        </w:rPr>
        <w:t>la conoscenza della situazione patrimoniale dei politici e dei dirigenti e, per tal via, il controllo circa arricchimenti anomali verificatisi durante lo svolgimento del mandato (per gli Enti tenuti a tale pubblicazione).</w:t>
      </w:r>
    </w:p>
    <w:p w:rsidR="00D67677" w:rsidRPr="00B67FEC" w:rsidRDefault="00D67677" w:rsidP="0049154B">
      <w:pPr>
        <w:rPr>
          <w:rFonts w:eastAsia="MS Mincho" w:cs="Calibri"/>
          <w:lang w:eastAsia="ja-JP"/>
        </w:rPr>
      </w:pPr>
      <w:r w:rsidRPr="00B67FEC">
        <w:rPr>
          <w:rFonts w:eastAsia="MS Mincho" w:cs="Calibri"/>
          <w:lang w:eastAsia="ja-JP"/>
        </w:rPr>
        <w:t xml:space="preserve">L’art. 2 bis del d.lgs. 33/2013, introdotto dal d.lgs. 97/2016, ridisegna l’ambito soggettivo di applicazione della disciplina sulla trasparenza rispetto alla precedente indicazione normativa contenuta nell’ abrogato art. 11 del d.lgs. 33/2013. </w:t>
      </w:r>
    </w:p>
    <w:p w:rsidR="00D67677" w:rsidRPr="00B67FEC" w:rsidRDefault="00D67677" w:rsidP="0049154B">
      <w:pPr>
        <w:rPr>
          <w:rFonts w:eastAsia="MS Mincho" w:cs="Calibri"/>
          <w:lang w:eastAsia="ja-JP"/>
        </w:rPr>
      </w:pPr>
      <w:r w:rsidRPr="00B67FEC">
        <w:rPr>
          <w:rFonts w:eastAsia="MS Mincho" w:cs="Calibri"/>
          <w:lang w:eastAsia="ja-JP"/>
        </w:rPr>
        <w:t xml:space="preserve">I destinatari degli obblighi di trasparenza sono ora ricondotti a tre macro categorie di soggetti: </w:t>
      </w:r>
    </w:p>
    <w:p w:rsidR="00D67677" w:rsidRPr="00B67FEC" w:rsidRDefault="00D67677" w:rsidP="00B67FEC">
      <w:pPr>
        <w:numPr>
          <w:ilvl w:val="0"/>
          <w:numId w:val="7"/>
        </w:numPr>
        <w:rPr>
          <w:rFonts w:eastAsia="MS Mincho" w:cs="Calibri"/>
          <w:lang w:eastAsia="ja-JP"/>
        </w:rPr>
      </w:pPr>
      <w:r w:rsidRPr="00B67FEC">
        <w:rPr>
          <w:rFonts w:eastAsia="MS Mincho" w:cs="Calibri"/>
          <w:lang w:eastAsia="ja-JP"/>
        </w:rPr>
        <w:t xml:space="preserve">le pubbliche amministrazioni di cui all’art. 1, </w:t>
      </w:r>
      <w:proofErr w:type="spellStart"/>
      <w:r w:rsidRPr="00B67FEC">
        <w:rPr>
          <w:rFonts w:eastAsia="MS Mincho" w:cs="Calibri"/>
          <w:lang w:eastAsia="ja-JP"/>
        </w:rPr>
        <w:t>co</w:t>
      </w:r>
      <w:proofErr w:type="spellEnd"/>
      <w:r w:rsidRPr="00B67FEC">
        <w:rPr>
          <w:rFonts w:eastAsia="MS Mincho" w:cs="Calibri"/>
          <w:lang w:eastAsia="ja-JP"/>
        </w:rPr>
        <w:t xml:space="preserve">. 2 del d.lgs. 165/2000, ivi comprese le autorità portuali nonché le autorità amministrative indipendenti di garanzia, vigilanza e regolazione, destinatarie dirette della disciplina contenuta nel decreto (art. 2-bis, </w:t>
      </w:r>
      <w:proofErr w:type="spellStart"/>
      <w:r w:rsidRPr="00B67FEC">
        <w:rPr>
          <w:rFonts w:eastAsia="MS Mincho" w:cs="Calibri"/>
          <w:lang w:eastAsia="ja-JP"/>
        </w:rPr>
        <w:t>co</w:t>
      </w:r>
      <w:proofErr w:type="spellEnd"/>
      <w:r w:rsidRPr="00B67FEC">
        <w:rPr>
          <w:rFonts w:eastAsia="MS Mincho" w:cs="Calibri"/>
          <w:lang w:eastAsia="ja-JP"/>
        </w:rPr>
        <w:t xml:space="preserve">. 1); </w:t>
      </w:r>
    </w:p>
    <w:p w:rsidR="00D67677" w:rsidRPr="00B67FEC" w:rsidRDefault="00D67677" w:rsidP="00B67FEC">
      <w:pPr>
        <w:numPr>
          <w:ilvl w:val="0"/>
          <w:numId w:val="7"/>
        </w:numPr>
        <w:rPr>
          <w:rFonts w:eastAsia="MS Mincho" w:cs="Calibri"/>
          <w:lang w:eastAsia="ja-JP"/>
        </w:rPr>
      </w:pPr>
      <w:r w:rsidRPr="00B67FEC">
        <w:rPr>
          <w:rFonts w:eastAsia="MS Mincho" w:cs="Calibri"/>
          <w:lang w:eastAsia="ja-JP"/>
        </w:rPr>
        <w:t xml:space="preserve">gli enti pubblici economici, ordini professionali, </w:t>
      </w:r>
      <w:r w:rsidR="00F902C5" w:rsidRPr="00B67FEC">
        <w:rPr>
          <w:rFonts w:eastAsia="MS Mincho" w:cs="Calibri"/>
          <w:lang w:eastAsia="ja-JP"/>
        </w:rPr>
        <w:t>Società</w:t>
      </w:r>
      <w:r w:rsidRPr="00B67FEC">
        <w:rPr>
          <w:rFonts w:eastAsia="MS Mincho" w:cs="Calibri"/>
          <w:lang w:eastAsia="ja-JP"/>
        </w:rPr>
        <w:t xml:space="preserve"> in controllo pubblico, associazioni, fondazioni ed enti di diritto privato, sottoposti alla medesima disciplina prevista per le p.a. «in quanto compatibile» (art. 2 bis, </w:t>
      </w:r>
      <w:proofErr w:type="spellStart"/>
      <w:r w:rsidRPr="00B67FEC">
        <w:rPr>
          <w:rFonts w:eastAsia="MS Mincho" w:cs="Calibri"/>
          <w:lang w:eastAsia="ja-JP"/>
        </w:rPr>
        <w:t>co</w:t>
      </w:r>
      <w:proofErr w:type="spellEnd"/>
      <w:r w:rsidRPr="00B67FEC">
        <w:rPr>
          <w:rFonts w:eastAsia="MS Mincho" w:cs="Calibri"/>
          <w:lang w:eastAsia="ja-JP"/>
        </w:rPr>
        <w:t xml:space="preserve">. 2);   </w:t>
      </w:r>
    </w:p>
    <w:p w:rsidR="00D67677" w:rsidRPr="00B67FEC" w:rsidRDefault="00D67677" w:rsidP="00B67FEC">
      <w:pPr>
        <w:numPr>
          <w:ilvl w:val="0"/>
          <w:numId w:val="7"/>
        </w:numPr>
        <w:rPr>
          <w:rFonts w:eastAsia="MS Mincho" w:cs="Calibri"/>
          <w:lang w:eastAsia="ja-JP"/>
        </w:rPr>
      </w:pPr>
      <w:r w:rsidRPr="00B67FEC">
        <w:rPr>
          <w:rFonts w:eastAsia="MS Mincho" w:cs="Calibri"/>
          <w:lang w:eastAsia="ja-JP"/>
        </w:rPr>
        <w:t xml:space="preserve">le </w:t>
      </w:r>
      <w:r w:rsidR="00F902C5" w:rsidRPr="00B67FEC">
        <w:rPr>
          <w:rFonts w:eastAsia="MS Mincho" w:cs="Calibri"/>
          <w:lang w:eastAsia="ja-JP"/>
        </w:rPr>
        <w:t>Società</w:t>
      </w:r>
      <w:r w:rsidRPr="00B67FEC">
        <w:rPr>
          <w:rFonts w:eastAsia="MS Mincho" w:cs="Calibri"/>
          <w:lang w:eastAsia="ja-JP"/>
        </w:rPr>
        <w:t xml:space="preserve"> a partecipazione pubblica, associazioni, fondazioni ed enti di diritto privato soggetti alla medesima disciplina in materia di trasparenza prevista per le p.a. «in quanto compatibile» e «limitatamente ai dati e ai documenti inerenti all’attività di pubblico interesse disciplinata dal diritto nazionale o dell’Unione europea» (art. 2-bis, </w:t>
      </w:r>
      <w:proofErr w:type="spellStart"/>
      <w:r w:rsidRPr="00B67FEC">
        <w:rPr>
          <w:rFonts w:eastAsia="MS Mincho" w:cs="Calibri"/>
          <w:lang w:eastAsia="ja-JP"/>
        </w:rPr>
        <w:t>co</w:t>
      </w:r>
      <w:proofErr w:type="spellEnd"/>
      <w:r w:rsidRPr="00B67FEC">
        <w:rPr>
          <w:rFonts w:eastAsia="MS Mincho" w:cs="Calibri"/>
          <w:lang w:eastAsia="ja-JP"/>
        </w:rPr>
        <w:t xml:space="preserve">. 3). </w:t>
      </w:r>
    </w:p>
    <w:p w:rsidR="00D67677" w:rsidRPr="00B67FEC" w:rsidRDefault="00EC0950" w:rsidP="0049154B">
      <w:pPr>
        <w:rPr>
          <w:rFonts w:eastAsia="MS Mincho" w:cs="Calibri"/>
          <w:lang w:eastAsia="ja-JP"/>
        </w:rPr>
      </w:pPr>
      <w:r>
        <w:rPr>
          <w:rFonts w:eastAsia="MS Mincho" w:cs="Calibri"/>
          <w:lang w:eastAsia="ja-JP"/>
        </w:rPr>
        <w:t>Segrate Servizi Srl</w:t>
      </w:r>
      <w:r w:rsidR="00655019" w:rsidRPr="00B67FEC">
        <w:rPr>
          <w:rFonts w:eastAsia="MS Mincho" w:cs="Calibri"/>
          <w:lang w:eastAsia="ja-JP"/>
        </w:rPr>
        <w:t xml:space="preserve"> </w:t>
      </w:r>
      <w:r w:rsidR="00D67677" w:rsidRPr="00B67FEC">
        <w:rPr>
          <w:rFonts w:eastAsia="MS Mincho" w:cs="Calibri"/>
          <w:lang w:eastAsia="ja-JP"/>
        </w:rPr>
        <w:t>è tenut</w:t>
      </w:r>
      <w:r w:rsidR="007A5F3E" w:rsidRPr="00B67FEC">
        <w:rPr>
          <w:rFonts w:eastAsia="MS Mincho" w:cs="Calibri"/>
          <w:lang w:eastAsia="ja-JP"/>
        </w:rPr>
        <w:t>a</w:t>
      </w:r>
      <w:r w:rsidR="00D67677" w:rsidRPr="00B67FEC">
        <w:rPr>
          <w:rFonts w:eastAsia="MS Mincho" w:cs="Calibri"/>
          <w:lang w:eastAsia="ja-JP"/>
        </w:rPr>
        <w:t xml:space="preserve"> ad adottare, entro il </w:t>
      </w:r>
      <w:r w:rsidR="00D67677" w:rsidRPr="00B67FEC">
        <w:rPr>
          <w:rFonts w:eastAsia="MS Mincho" w:cs="Calibri"/>
          <w:b/>
          <w:lang w:eastAsia="ja-JP"/>
        </w:rPr>
        <w:t>31 gennaio</w:t>
      </w:r>
      <w:r w:rsidR="00D67677" w:rsidRPr="00B67FEC">
        <w:rPr>
          <w:rFonts w:eastAsia="MS Mincho" w:cs="Calibri"/>
          <w:lang w:eastAsia="ja-JP"/>
        </w:rPr>
        <w:t xml:space="preserve"> di ogni anno, un unico Piano Triennale della Prevenzione della Corruzione e della Trasparenza e, in cui sia chiaramente identificata la sezione relativa alla trasparenza. </w:t>
      </w:r>
    </w:p>
    <w:p w:rsidR="005C5806" w:rsidRPr="00B67FEC" w:rsidRDefault="005C5806" w:rsidP="0049154B">
      <w:pPr>
        <w:rPr>
          <w:rFonts w:eastAsia="MS Mincho" w:cs="Calibri"/>
          <w:lang w:eastAsia="ja-JP"/>
        </w:rPr>
      </w:pPr>
    </w:p>
    <w:p w:rsidR="005C5806" w:rsidRPr="00B67FEC" w:rsidRDefault="005C5806" w:rsidP="0049154B">
      <w:pPr>
        <w:rPr>
          <w:rFonts w:cs="Calibri"/>
          <w:b/>
        </w:rPr>
      </w:pPr>
      <w:r w:rsidRPr="00B67FEC">
        <w:rPr>
          <w:rFonts w:cs="Calibri"/>
          <w:b/>
        </w:rPr>
        <w:t>Modalità della programmazione della misura: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704"/>
      </w:tblGrid>
      <w:tr w:rsidR="005C5806" w:rsidRPr="00B67FEC" w:rsidTr="00E50E41">
        <w:tc>
          <w:tcPr>
            <w:tcW w:w="2376" w:type="dxa"/>
            <w:shd w:val="clear" w:color="auto" w:fill="auto"/>
          </w:tcPr>
          <w:p w:rsidR="005C5806" w:rsidRPr="00E10FCB" w:rsidRDefault="005C5806" w:rsidP="00E50E41">
            <w:pPr>
              <w:spacing w:line="276" w:lineRule="auto"/>
              <w:jc w:val="left"/>
              <w:rPr>
                <w:rFonts w:cs="Calibri"/>
                <w:b/>
              </w:rPr>
            </w:pPr>
            <w:r w:rsidRPr="00E10FCB">
              <w:rPr>
                <w:rFonts w:cs="Calibri"/>
                <w:b/>
              </w:rPr>
              <w:t>Fasi/attività per la sua attuazione</w:t>
            </w:r>
          </w:p>
        </w:tc>
        <w:tc>
          <w:tcPr>
            <w:tcW w:w="7704" w:type="dxa"/>
            <w:shd w:val="clear" w:color="auto" w:fill="auto"/>
          </w:tcPr>
          <w:p w:rsidR="00097368" w:rsidRPr="00E10FCB" w:rsidRDefault="00097368" w:rsidP="00097368">
            <w:pPr>
              <w:spacing w:line="240" w:lineRule="auto"/>
            </w:pPr>
            <w:r w:rsidRPr="00E10FCB">
              <w:t xml:space="preserve">Per il </w:t>
            </w:r>
            <w:r w:rsidR="00E10FCB">
              <w:t>2022</w:t>
            </w:r>
            <w:r w:rsidRPr="00E10FCB">
              <w:t xml:space="preserve">, si </w:t>
            </w:r>
            <w:r w:rsidR="00AA4E10" w:rsidRPr="00E10FCB">
              <w:t>attuerà la</w:t>
            </w:r>
            <w:r w:rsidRPr="00E10FCB">
              <w:t xml:space="preserve"> misura come sopra descritta, come meglio specificato nel seguente paragrafo “M SEZIONE TRASPARENZA”, perseguendo i seguenti traguardi:</w:t>
            </w:r>
          </w:p>
          <w:p w:rsidR="00097368" w:rsidRPr="00E10FCB" w:rsidRDefault="00097368" w:rsidP="00097368">
            <w:pPr>
              <w:spacing w:line="240" w:lineRule="auto"/>
            </w:pPr>
            <w:r w:rsidRPr="00E10FCB">
              <w:rPr>
                <w:b/>
              </w:rPr>
              <w:t xml:space="preserve">Sezione Amministrazione Trasparente costantemente aggiornata per quanto attiene i dati e documenti di pubblicazione obbligatoria per il </w:t>
            </w:r>
            <w:r w:rsidR="00E10FCB">
              <w:rPr>
                <w:b/>
              </w:rPr>
              <w:t>2022</w:t>
            </w:r>
            <w:r w:rsidRPr="00E10FCB">
              <w:t xml:space="preserve"> </w:t>
            </w:r>
          </w:p>
          <w:p w:rsidR="00097368" w:rsidRPr="00E10FCB" w:rsidRDefault="00097368" w:rsidP="00097368">
            <w:pPr>
              <w:spacing w:line="240" w:lineRule="auto"/>
            </w:pPr>
            <w:r w:rsidRPr="00E10FCB">
              <w:t xml:space="preserve">Attestazione pubblicazione come da delibera ANAC </w:t>
            </w:r>
            <w:r w:rsidR="00E10FCB">
              <w:t>2022</w:t>
            </w:r>
            <w:r w:rsidRPr="00E10FCB">
              <w:t xml:space="preserve"> positiva (100%).</w:t>
            </w:r>
          </w:p>
          <w:p w:rsidR="00097368" w:rsidRPr="00E10FCB" w:rsidRDefault="00097368" w:rsidP="00097368">
            <w:pPr>
              <w:spacing w:line="240" w:lineRule="auto"/>
            </w:pPr>
            <w:r w:rsidRPr="00E10FCB">
              <w:t>Monitoraggio complessivo adeguatezza: 95%</w:t>
            </w:r>
          </w:p>
          <w:p w:rsidR="00097368" w:rsidRPr="00E10FCB" w:rsidRDefault="00097368" w:rsidP="00097368">
            <w:pPr>
              <w:spacing w:line="240" w:lineRule="auto"/>
              <w:rPr>
                <w:b/>
              </w:rPr>
            </w:pPr>
            <w:r w:rsidRPr="00E10FCB">
              <w:rPr>
                <w:b/>
              </w:rPr>
              <w:t>Attuazione della misura Accesso Civico</w:t>
            </w:r>
          </w:p>
          <w:p w:rsidR="00097368" w:rsidRPr="00E10FCB" w:rsidRDefault="00097368" w:rsidP="00097368">
            <w:pPr>
              <w:spacing w:line="240" w:lineRule="auto"/>
            </w:pPr>
            <w:r w:rsidRPr="00E10FCB">
              <w:t>Richieste accesso documentale gestite/ricevute: 100% (n. 0)</w:t>
            </w:r>
          </w:p>
          <w:p w:rsidR="00097368" w:rsidRPr="00E10FCB" w:rsidRDefault="00097368" w:rsidP="00097368">
            <w:pPr>
              <w:spacing w:line="240" w:lineRule="auto"/>
            </w:pPr>
            <w:r w:rsidRPr="00E10FCB">
              <w:t>Richieste accesso civico generalizzato gestite/ricevute: 100% (n. 0)</w:t>
            </w:r>
          </w:p>
          <w:p w:rsidR="00097368" w:rsidRPr="00E10FCB" w:rsidRDefault="00097368" w:rsidP="00097368">
            <w:pPr>
              <w:spacing w:line="240" w:lineRule="auto"/>
            </w:pPr>
            <w:r w:rsidRPr="00E10FCB">
              <w:t>Richieste accesso civico semplice gestite/ricevute: 100% (n. 0)</w:t>
            </w:r>
          </w:p>
          <w:p w:rsidR="005C5806" w:rsidRPr="00B67FEC" w:rsidRDefault="00097368" w:rsidP="00097368">
            <w:pPr>
              <w:spacing w:line="276" w:lineRule="auto"/>
              <w:rPr>
                <w:rFonts w:cs="Calibri"/>
                <w:b/>
              </w:rPr>
            </w:pPr>
            <w:r w:rsidRPr="00E10FCB">
              <w:t xml:space="preserve">Registro delle richieste accesso </w:t>
            </w:r>
            <w:r w:rsidR="00E10FCB">
              <w:t>2022</w:t>
            </w:r>
            <w:r w:rsidRPr="00E10FCB">
              <w:t>: annuale</w:t>
            </w:r>
          </w:p>
        </w:tc>
      </w:tr>
      <w:tr w:rsidR="005C5806" w:rsidRPr="00B67FEC" w:rsidTr="00E50E41">
        <w:tc>
          <w:tcPr>
            <w:tcW w:w="2376" w:type="dxa"/>
            <w:shd w:val="clear" w:color="auto" w:fill="auto"/>
          </w:tcPr>
          <w:p w:rsidR="005C5806" w:rsidRPr="00B67FEC" w:rsidRDefault="005C5806" w:rsidP="00E50E41">
            <w:pPr>
              <w:spacing w:line="276" w:lineRule="auto"/>
              <w:jc w:val="left"/>
              <w:rPr>
                <w:rFonts w:cs="Calibri"/>
                <w:b/>
              </w:rPr>
            </w:pPr>
            <w:r w:rsidRPr="00B67FEC">
              <w:rPr>
                <w:rFonts w:cs="Calibri"/>
                <w:b/>
              </w:rPr>
              <w:t>Tempi di attuazione</w:t>
            </w:r>
          </w:p>
        </w:tc>
        <w:tc>
          <w:tcPr>
            <w:tcW w:w="7704" w:type="dxa"/>
            <w:shd w:val="clear" w:color="auto" w:fill="auto"/>
          </w:tcPr>
          <w:p w:rsidR="005C5806" w:rsidRPr="00B67FEC" w:rsidRDefault="005C5806" w:rsidP="00E50E41">
            <w:pPr>
              <w:spacing w:line="276" w:lineRule="auto"/>
              <w:rPr>
                <w:rFonts w:cs="Calibri"/>
                <w:b/>
              </w:rPr>
            </w:pPr>
            <w:r w:rsidRPr="00B67FEC">
              <w:rPr>
                <w:rFonts w:cs="Calibri"/>
                <w:b/>
              </w:rPr>
              <w:t>Costante nel tempo</w:t>
            </w:r>
          </w:p>
        </w:tc>
      </w:tr>
      <w:tr w:rsidR="005C5806" w:rsidRPr="00B67FEC" w:rsidTr="00E50E41">
        <w:tc>
          <w:tcPr>
            <w:tcW w:w="2376" w:type="dxa"/>
            <w:shd w:val="clear" w:color="auto" w:fill="auto"/>
          </w:tcPr>
          <w:p w:rsidR="005C5806" w:rsidRPr="00B67FEC" w:rsidRDefault="005C5806" w:rsidP="00E50E41">
            <w:pPr>
              <w:spacing w:line="276" w:lineRule="auto"/>
              <w:jc w:val="left"/>
              <w:rPr>
                <w:rFonts w:cs="Calibri"/>
                <w:b/>
              </w:rPr>
            </w:pPr>
            <w:r w:rsidRPr="00B67FEC">
              <w:rPr>
                <w:rFonts w:cs="Calibri"/>
                <w:b/>
              </w:rPr>
              <w:t>Responsabili della sua attuazione</w:t>
            </w:r>
          </w:p>
        </w:tc>
        <w:tc>
          <w:tcPr>
            <w:tcW w:w="7704" w:type="dxa"/>
            <w:shd w:val="clear" w:color="auto" w:fill="auto"/>
          </w:tcPr>
          <w:p w:rsidR="005C5806" w:rsidRPr="00097368" w:rsidRDefault="00115A0D" w:rsidP="00E50E41">
            <w:pPr>
              <w:spacing w:line="276" w:lineRule="auto"/>
              <w:rPr>
                <w:rFonts w:cs="Calibri"/>
                <w:bCs/>
              </w:rPr>
            </w:pPr>
            <w:r w:rsidRPr="00097368">
              <w:rPr>
                <w:rFonts w:cs="Calibri"/>
                <w:bCs/>
              </w:rPr>
              <w:t>RPC</w:t>
            </w:r>
            <w:r w:rsidR="005C5806" w:rsidRPr="00097368">
              <w:rPr>
                <w:rFonts w:cs="Calibri"/>
                <w:bCs/>
              </w:rPr>
              <w:t xml:space="preserve"> per svolgimento attività di controllo</w:t>
            </w:r>
          </w:p>
          <w:p w:rsidR="005C5806" w:rsidRPr="00097368" w:rsidRDefault="005C5806" w:rsidP="00E50E41">
            <w:pPr>
              <w:spacing w:line="276" w:lineRule="auto"/>
              <w:rPr>
                <w:rFonts w:cs="Calibri"/>
                <w:bCs/>
              </w:rPr>
            </w:pPr>
            <w:r w:rsidRPr="00097368">
              <w:rPr>
                <w:rFonts w:cs="Calibri"/>
                <w:bCs/>
              </w:rPr>
              <w:t>Personale incaricato per la corretta pubblicazione dei dati di competenza</w:t>
            </w:r>
          </w:p>
          <w:p w:rsidR="005C5806" w:rsidRPr="00097368" w:rsidRDefault="005C5806" w:rsidP="00E50E41">
            <w:pPr>
              <w:spacing w:line="276" w:lineRule="auto"/>
              <w:rPr>
                <w:rFonts w:cs="Calibri"/>
                <w:bCs/>
              </w:rPr>
            </w:pPr>
            <w:r w:rsidRPr="00097368">
              <w:rPr>
                <w:rFonts w:cs="Calibri"/>
                <w:bCs/>
              </w:rPr>
              <w:t>Organismo di Valutazione, per l’annuale attestazione di conformità</w:t>
            </w:r>
          </w:p>
        </w:tc>
      </w:tr>
      <w:tr w:rsidR="005C5806" w:rsidRPr="00B67FEC" w:rsidTr="00E50E41">
        <w:tc>
          <w:tcPr>
            <w:tcW w:w="2376" w:type="dxa"/>
            <w:shd w:val="clear" w:color="auto" w:fill="auto"/>
          </w:tcPr>
          <w:p w:rsidR="005C5806" w:rsidRPr="00B67FEC" w:rsidRDefault="005C5806" w:rsidP="00E50E41">
            <w:pPr>
              <w:spacing w:line="276" w:lineRule="auto"/>
              <w:jc w:val="left"/>
              <w:rPr>
                <w:rFonts w:cs="Calibri"/>
                <w:b/>
              </w:rPr>
            </w:pPr>
            <w:r w:rsidRPr="00B67FEC">
              <w:rPr>
                <w:rFonts w:cs="Calibri"/>
                <w:b/>
              </w:rPr>
              <w:t>Indicatori di monitoraggio</w:t>
            </w:r>
          </w:p>
        </w:tc>
        <w:tc>
          <w:tcPr>
            <w:tcW w:w="7704" w:type="dxa"/>
            <w:shd w:val="clear" w:color="auto" w:fill="auto"/>
          </w:tcPr>
          <w:p w:rsidR="005C5806" w:rsidRPr="00097368" w:rsidRDefault="005C5806" w:rsidP="00E50E41">
            <w:pPr>
              <w:spacing w:line="276" w:lineRule="auto"/>
              <w:rPr>
                <w:rFonts w:cs="Calibri"/>
                <w:bCs/>
              </w:rPr>
            </w:pPr>
            <w:r w:rsidRPr="00097368">
              <w:rPr>
                <w:rFonts w:cs="Calibri"/>
                <w:bCs/>
              </w:rPr>
              <w:t>Grado di attestazione conformità obblighi di pubblicazione annuale: &gt; 66,67%</w:t>
            </w:r>
          </w:p>
          <w:p w:rsidR="005C5806" w:rsidRPr="00097368" w:rsidRDefault="005C5806" w:rsidP="00E50E41">
            <w:pPr>
              <w:spacing w:line="276" w:lineRule="auto"/>
              <w:rPr>
                <w:rFonts w:cs="Calibri"/>
                <w:bCs/>
              </w:rPr>
            </w:pPr>
          </w:p>
          <w:p w:rsidR="005C5806" w:rsidRPr="00097368" w:rsidRDefault="005C5806" w:rsidP="00E50E41">
            <w:pPr>
              <w:spacing w:line="276" w:lineRule="auto"/>
              <w:rPr>
                <w:rFonts w:cs="Calibri"/>
                <w:bCs/>
              </w:rPr>
            </w:pPr>
            <w:r w:rsidRPr="00097368">
              <w:rPr>
                <w:rFonts w:cs="Calibri"/>
                <w:bCs/>
              </w:rPr>
              <w:lastRenderedPageBreak/>
              <w:t>Monitoraggio richieste di accesso civico semplice e generalizzato</w:t>
            </w:r>
          </w:p>
        </w:tc>
      </w:tr>
      <w:tr w:rsidR="00E50E41" w:rsidRPr="00B67FEC" w:rsidTr="00E50E41">
        <w:tc>
          <w:tcPr>
            <w:tcW w:w="2376" w:type="dxa"/>
            <w:shd w:val="clear" w:color="auto" w:fill="auto"/>
          </w:tcPr>
          <w:p w:rsidR="00E50E41" w:rsidRPr="00B67FEC" w:rsidRDefault="00E50E41" w:rsidP="00E50E41">
            <w:pPr>
              <w:spacing w:line="276" w:lineRule="auto"/>
              <w:jc w:val="left"/>
              <w:rPr>
                <w:rFonts w:cs="Calibri"/>
                <w:b/>
              </w:rPr>
            </w:pPr>
            <w:r w:rsidRPr="00B67FEC">
              <w:rPr>
                <w:rFonts w:cs="Calibri"/>
                <w:b/>
              </w:rPr>
              <w:lastRenderedPageBreak/>
              <w:t>Attuazione della misura</w:t>
            </w:r>
          </w:p>
        </w:tc>
        <w:tc>
          <w:tcPr>
            <w:tcW w:w="7704" w:type="dxa"/>
            <w:shd w:val="clear" w:color="auto" w:fill="auto"/>
          </w:tcPr>
          <w:p w:rsidR="00E50E41" w:rsidRPr="00097368" w:rsidRDefault="00E50E41" w:rsidP="00E50E41">
            <w:pPr>
              <w:spacing w:line="276" w:lineRule="auto"/>
              <w:rPr>
                <w:rFonts w:cs="Calibri"/>
                <w:bCs/>
              </w:rPr>
            </w:pPr>
            <w:r w:rsidRPr="00097368">
              <w:rPr>
                <w:rFonts w:cs="Calibri"/>
                <w:bCs/>
              </w:rPr>
              <w:t>2018: 100%</w:t>
            </w:r>
          </w:p>
          <w:p w:rsidR="00E50E41" w:rsidRDefault="00E50E41" w:rsidP="00E50E41">
            <w:pPr>
              <w:spacing w:line="276" w:lineRule="auto"/>
              <w:rPr>
                <w:rFonts w:cs="Calibri"/>
                <w:bCs/>
              </w:rPr>
            </w:pPr>
            <w:r w:rsidRPr="00097368">
              <w:rPr>
                <w:rFonts w:cs="Calibri"/>
                <w:bCs/>
              </w:rPr>
              <w:t>2019: 100%</w:t>
            </w:r>
          </w:p>
          <w:p w:rsidR="00097368" w:rsidRDefault="00097368" w:rsidP="00E50E41">
            <w:pPr>
              <w:spacing w:line="276" w:lineRule="auto"/>
              <w:rPr>
                <w:rFonts w:cs="Calibri"/>
                <w:bCs/>
              </w:rPr>
            </w:pPr>
            <w:r>
              <w:rPr>
                <w:rFonts w:cs="Calibri"/>
                <w:bCs/>
              </w:rPr>
              <w:t>2020: 100%</w:t>
            </w:r>
          </w:p>
          <w:p w:rsidR="00E10FCB" w:rsidRPr="00097368" w:rsidRDefault="00E10FCB" w:rsidP="00E50E41">
            <w:pPr>
              <w:spacing w:line="276" w:lineRule="auto"/>
              <w:rPr>
                <w:rFonts w:cs="Calibri"/>
                <w:bCs/>
              </w:rPr>
            </w:pPr>
            <w:r>
              <w:rPr>
                <w:rFonts w:cs="Calibri"/>
                <w:bCs/>
              </w:rPr>
              <w:t>2021: 100%</w:t>
            </w:r>
          </w:p>
        </w:tc>
      </w:tr>
    </w:tbl>
    <w:p w:rsidR="00097368" w:rsidRDefault="00097368" w:rsidP="004E614E">
      <w:pPr>
        <w:pStyle w:val="Titolo3"/>
      </w:pPr>
      <w:bookmarkStart w:id="197" w:name="_Toc28966907"/>
      <w:bookmarkStart w:id="198" w:name="_Toc28967127"/>
      <w:bookmarkStart w:id="199" w:name="_Toc28967380"/>
    </w:p>
    <w:p w:rsidR="004B223A" w:rsidRPr="008F710D" w:rsidRDefault="00C728EC" w:rsidP="004E614E">
      <w:pPr>
        <w:pStyle w:val="Titolo3"/>
      </w:pPr>
      <w:bookmarkStart w:id="200" w:name="_Toc101602042"/>
      <w:r w:rsidRPr="008F710D">
        <w:t>G. Svolgimento attività successiva cessazione lavoro</w:t>
      </w:r>
      <w:bookmarkEnd w:id="197"/>
      <w:bookmarkEnd w:id="198"/>
      <w:bookmarkEnd w:id="199"/>
      <w:bookmarkEnd w:id="200"/>
    </w:p>
    <w:p w:rsidR="00097368" w:rsidRDefault="00097368" w:rsidP="00842D3F">
      <w:pPr>
        <w:rPr>
          <w:rFonts w:eastAsia="MS Mincho"/>
          <w:lang w:eastAsia="ja-JP"/>
        </w:rPr>
      </w:pPr>
      <w:r w:rsidRPr="00932823">
        <w:rPr>
          <w:rFonts w:eastAsia="MS Mincho"/>
          <w:lang w:eastAsia="ja-JP"/>
        </w:rPr>
        <w:t xml:space="preserve">I dipendenti che, negli ultimi tre anni di servizio hanno esercitato poteri </w:t>
      </w:r>
      <w:proofErr w:type="spellStart"/>
      <w:r w:rsidRPr="00932823">
        <w:rPr>
          <w:rFonts w:eastAsia="MS Mincho"/>
          <w:lang w:eastAsia="ja-JP"/>
        </w:rPr>
        <w:t>autoritativi</w:t>
      </w:r>
      <w:proofErr w:type="spellEnd"/>
      <w:r w:rsidRPr="00932823">
        <w:rPr>
          <w:rFonts w:eastAsia="MS Mincho"/>
          <w:lang w:eastAsia="ja-JP"/>
        </w:rPr>
        <w:t xml:space="preserve"> o negoziali per conto dell’</w:t>
      </w:r>
      <w:r>
        <w:rPr>
          <w:rFonts w:eastAsia="MS Mincho"/>
          <w:lang w:eastAsia="ja-JP"/>
        </w:rPr>
        <w:t>Azienda,</w:t>
      </w:r>
      <w:r w:rsidRPr="00932823">
        <w:rPr>
          <w:rFonts w:eastAsia="MS Mincho"/>
          <w:lang w:eastAsia="ja-JP"/>
        </w:rPr>
        <w:t xml:space="preserve"> nel triennio successivo alla cessazione del rapporto con </w:t>
      </w:r>
      <w:r>
        <w:rPr>
          <w:rFonts w:eastAsia="MS Mincho"/>
          <w:lang w:eastAsia="ja-JP"/>
        </w:rPr>
        <w:t>una PA</w:t>
      </w:r>
      <w:r w:rsidRPr="00932823">
        <w:rPr>
          <w:rFonts w:eastAsia="MS Mincho"/>
          <w:lang w:eastAsia="ja-JP"/>
        </w:rPr>
        <w:t>, qualunque sia la causa di cessazione (e quindi anche in caso di collocamento in quiescenza per raggiungimento dei requisiti di accesso alla pensione), non possono avere alcun rapporto di lavoro autonomo o subordinato con i soggetti privati che sono stati destinatari di provvedimenti, contratti o accordi.</w:t>
      </w:r>
    </w:p>
    <w:p w:rsidR="00842D3F" w:rsidRDefault="00842D3F" w:rsidP="00842D3F">
      <w:pPr>
        <w:rPr>
          <w:rFonts w:eastAsia="MS Mincho"/>
          <w:lang w:eastAsia="ja-JP"/>
        </w:rPr>
      </w:pPr>
      <w:r>
        <w:rPr>
          <w:rFonts w:eastAsia="MS Mincho"/>
          <w:lang w:eastAsia="ja-JP"/>
        </w:rPr>
        <w:t>Dal LG 1134/2017</w:t>
      </w:r>
    </w:p>
    <w:p w:rsidR="00842D3F" w:rsidRPr="00842D3F" w:rsidRDefault="009E35E4" w:rsidP="00842D3F">
      <w:pPr>
        <w:rPr>
          <w:rFonts w:eastAsia="MS Mincho"/>
          <w:i/>
          <w:lang w:eastAsia="ja-JP"/>
        </w:rPr>
      </w:pPr>
      <w:r w:rsidRPr="00842D3F">
        <w:rPr>
          <w:rFonts w:eastAsia="MS Mincho"/>
          <w:i/>
          <w:lang w:eastAsia="ja-JP"/>
        </w:rPr>
        <w:t xml:space="preserve">Al fine di assicurare il rispetto di quanto previsto all'art. 53, </w:t>
      </w:r>
      <w:proofErr w:type="spellStart"/>
      <w:r w:rsidRPr="00842D3F">
        <w:rPr>
          <w:rFonts w:eastAsia="MS Mincho"/>
          <w:i/>
          <w:lang w:eastAsia="ja-JP"/>
        </w:rPr>
        <w:t>co</w:t>
      </w:r>
      <w:proofErr w:type="spellEnd"/>
      <w:r w:rsidRPr="00842D3F">
        <w:rPr>
          <w:rFonts w:eastAsia="MS Mincho"/>
          <w:i/>
          <w:lang w:eastAsia="ja-JP"/>
        </w:rPr>
        <w:t>. 16-ter, del 4</w:t>
      </w:r>
      <w:r w:rsidR="00097368">
        <w:rPr>
          <w:rFonts w:eastAsia="MS Mincho"/>
          <w:i/>
          <w:lang w:eastAsia="ja-JP"/>
        </w:rPr>
        <w:t xml:space="preserve"> </w:t>
      </w:r>
      <w:r w:rsidRPr="00842D3F">
        <w:rPr>
          <w:rFonts w:eastAsia="MS Mincho"/>
          <w:i/>
          <w:lang w:eastAsia="ja-JP"/>
        </w:rPr>
        <w:t>d.lgs. n.</w:t>
      </w:r>
      <w:r w:rsidR="00842D3F" w:rsidRPr="00842D3F">
        <w:rPr>
          <w:rFonts w:eastAsia="MS Mincho"/>
          <w:i/>
          <w:lang w:eastAsia="ja-JP"/>
        </w:rPr>
        <w:t xml:space="preserve"> 165 del 2001, le S</w:t>
      </w:r>
      <w:r w:rsidRPr="00842D3F">
        <w:rPr>
          <w:rFonts w:eastAsia="MS Mincho"/>
          <w:i/>
          <w:lang w:eastAsia="ja-JP"/>
        </w:rPr>
        <w:t xml:space="preserve">ocietà </w:t>
      </w:r>
      <w:r w:rsidR="00842D3F" w:rsidRPr="00842D3F">
        <w:rPr>
          <w:rFonts w:eastAsia="MS Mincho"/>
          <w:i/>
          <w:lang w:eastAsia="ja-JP"/>
        </w:rPr>
        <w:t xml:space="preserve">(anche se non rientrano formalmente nell’ambito di applicazione del 165/2001) </w:t>
      </w:r>
      <w:r w:rsidRPr="00842D3F">
        <w:rPr>
          <w:rFonts w:eastAsia="MS Mincho"/>
          <w:i/>
          <w:lang w:eastAsia="ja-JP"/>
        </w:rPr>
        <w:t xml:space="preserve">adottano le misure necessarie a evitare l'assunzione di dipendenti pubblici che, negli ultimi tre anni di servizio, abbiano esercitato poteri </w:t>
      </w:r>
      <w:proofErr w:type="spellStart"/>
      <w:r w:rsidRPr="00842D3F">
        <w:rPr>
          <w:rFonts w:eastAsia="MS Mincho"/>
          <w:i/>
          <w:lang w:eastAsia="ja-JP"/>
        </w:rPr>
        <w:t>autoritativi</w:t>
      </w:r>
      <w:proofErr w:type="spellEnd"/>
      <w:r w:rsidRPr="00842D3F">
        <w:rPr>
          <w:rFonts w:eastAsia="MS Mincho"/>
          <w:i/>
          <w:lang w:eastAsia="ja-JP"/>
        </w:rPr>
        <w:t xml:space="preserve"> o negoziali per conto di pubbliche amministrazioni, nei confronti delle società stesse. </w:t>
      </w:r>
    </w:p>
    <w:p w:rsidR="00842D3F" w:rsidRPr="00842D3F" w:rsidRDefault="009E35E4" w:rsidP="00842D3F">
      <w:pPr>
        <w:rPr>
          <w:rFonts w:eastAsia="MS Mincho"/>
          <w:i/>
          <w:lang w:eastAsia="ja-JP"/>
        </w:rPr>
      </w:pPr>
      <w:r w:rsidRPr="00842D3F">
        <w:rPr>
          <w:rFonts w:eastAsia="MS Mincho"/>
          <w:i/>
          <w:lang w:eastAsia="ja-JP"/>
        </w:rPr>
        <w:t xml:space="preserve">Le </w:t>
      </w:r>
      <w:r w:rsidR="00842D3F" w:rsidRPr="00842D3F">
        <w:rPr>
          <w:rFonts w:eastAsia="MS Mincho"/>
          <w:i/>
          <w:lang w:eastAsia="ja-JP"/>
        </w:rPr>
        <w:t>S</w:t>
      </w:r>
      <w:r w:rsidRPr="00842D3F">
        <w:rPr>
          <w:rFonts w:eastAsia="MS Mincho"/>
          <w:i/>
          <w:lang w:eastAsia="ja-JP"/>
        </w:rPr>
        <w:t xml:space="preserve">ocietà assumono iniziative volte a garantire che: </w:t>
      </w:r>
    </w:p>
    <w:p w:rsidR="00842D3F" w:rsidRPr="00842D3F" w:rsidRDefault="009E35E4" w:rsidP="00842D3F">
      <w:pPr>
        <w:rPr>
          <w:rFonts w:eastAsia="MS Mincho"/>
          <w:i/>
          <w:lang w:eastAsia="ja-JP"/>
        </w:rPr>
      </w:pPr>
      <w:r w:rsidRPr="00842D3F">
        <w:rPr>
          <w:rFonts w:eastAsia="MS Mincho"/>
          <w:i/>
          <w:lang w:eastAsia="ja-JP"/>
        </w:rPr>
        <w:t xml:space="preserve">a) negli interpelli o comunque nelle varie forme di selezione del personale sia inserita espressamente la condizione ostativa menzionata sopra; </w:t>
      </w:r>
    </w:p>
    <w:p w:rsidR="00842D3F" w:rsidRPr="00842D3F" w:rsidRDefault="009E35E4" w:rsidP="00842D3F">
      <w:pPr>
        <w:rPr>
          <w:rFonts w:eastAsia="MS Mincho"/>
          <w:i/>
          <w:lang w:eastAsia="ja-JP"/>
        </w:rPr>
      </w:pPr>
      <w:r w:rsidRPr="00842D3F">
        <w:rPr>
          <w:rFonts w:eastAsia="MS Mincho"/>
          <w:i/>
          <w:lang w:eastAsia="ja-JP"/>
        </w:rPr>
        <w:t xml:space="preserve">b) i soggetti interessati rendano la dichiarazione di insussistenza della suddetta causa ostativa; </w:t>
      </w:r>
    </w:p>
    <w:p w:rsidR="00842D3F" w:rsidRDefault="009E35E4" w:rsidP="00842D3F">
      <w:pPr>
        <w:rPr>
          <w:rFonts w:eastAsia="MS Mincho"/>
          <w:i/>
          <w:lang w:eastAsia="ja-JP"/>
        </w:rPr>
      </w:pPr>
      <w:r w:rsidRPr="00842D3F">
        <w:rPr>
          <w:rFonts w:eastAsia="MS Mincho"/>
          <w:i/>
          <w:lang w:eastAsia="ja-JP"/>
        </w:rPr>
        <w:t xml:space="preserve">c) sia svolta, secondo criteri autonomamente definiti, una specifica attività di vigilanza, eventualmente anche secondo modalità definite e su segnalazione di soggetti interni ed esterni. </w:t>
      </w:r>
    </w:p>
    <w:p w:rsidR="00097368" w:rsidRPr="00097368" w:rsidRDefault="00097368" w:rsidP="00842D3F">
      <w:pPr>
        <w:rPr>
          <w:rFonts w:eastAsia="MS Mincho"/>
          <w:iCs/>
          <w:lang w:eastAsia="ja-JP"/>
        </w:rPr>
      </w:pPr>
      <w:r>
        <w:rPr>
          <w:rFonts w:eastAsia="MS Mincho"/>
          <w:iCs/>
          <w:lang w:eastAsia="ja-JP"/>
        </w:rPr>
        <w:t xml:space="preserve">Si prevede </w:t>
      </w:r>
      <w:r w:rsidRPr="00932823">
        <w:rPr>
          <w:rFonts w:eastAsia="MS Mincho"/>
          <w:lang w:eastAsia="ja-JP"/>
        </w:rPr>
        <w:t xml:space="preserve">il rispetto di questa norma quale </w:t>
      </w:r>
      <w:r w:rsidRPr="004B223A">
        <w:rPr>
          <w:rFonts w:eastAsia="MS Mincho"/>
          <w:b/>
          <w:lang w:eastAsia="ja-JP"/>
        </w:rPr>
        <w:t>clausola da inserirsi nei bandi di gara, a pena di esclusione dell’impresa (operatore economico) la quale si impegn</w:t>
      </w:r>
      <w:r>
        <w:rPr>
          <w:rFonts w:eastAsia="MS Mincho"/>
          <w:b/>
          <w:lang w:eastAsia="ja-JP"/>
        </w:rPr>
        <w:t>erà</w:t>
      </w:r>
      <w:r w:rsidRPr="004B223A">
        <w:rPr>
          <w:rFonts w:eastAsia="MS Mincho"/>
          <w:b/>
          <w:lang w:eastAsia="ja-JP"/>
        </w:rPr>
        <w:t xml:space="preserve"> ad osservarla.</w:t>
      </w:r>
    </w:p>
    <w:p w:rsidR="00097368" w:rsidRPr="00932823" w:rsidRDefault="00097368" w:rsidP="00E10FCB">
      <w:pPr>
        <w:rPr>
          <w:rFonts w:eastAsia="MS Mincho"/>
          <w:lang w:eastAsia="ja-JP"/>
        </w:rPr>
      </w:pPr>
      <w:r w:rsidRPr="00E10FCB">
        <w:rPr>
          <w:rFonts w:eastAsia="MS Mincho"/>
          <w:szCs w:val="20"/>
          <w:lang w:eastAsia="ja-JP"/>
        </w:rPr>
        <w:t xml:space="preserve">A tali fini, si utilizzerà l’apposita clausola allegata “4. </w:t>
      </w:r>
      <w:proofErr w:type="spellStart"/>
      <w:r w:rsidRPr="00E10FCB">
        <w:rPr>
          <w:rFonts w:eastAsia="MS Mincho"/>
          <w:szCs w:val="20"/>
          <w:lang w:eastAsia="ja-JP"/>
        </w:rPr>
        <w:t>Pantouflage</w:t>
      </w:r>
      <w:proofErr w:type="spellEnd"/>
      <w:r w:rsidRPr="00E10FCB">
        <w:rPr>
          <w:rFonts w:eastAsia="MS Mincho"/>
          <w:szCs w:val="20"/>
          <w:lang w:eastAsia="ja-JP"/>
        </w:rPr>
        <w:t>”.</w:t>
      </w:r>
    </w:p>
    <w:p w:rsidR="00EA2257" w:rsidRDefault="00EA2257" w:rsidP="00842D3F">
      <w:pPr>
        <w:rPr>
          <w:b/>
        </w:rPr>
      </w:pPr>
    </w:p>
    <w:p w:rsidR="00842D3F" w:rsidRPr="007D2B30" w:rsidRDefault="00842D3F" w:rsidP="00842D3F">
      <w:pPr>
        <w:rPr>
          <w:b/>
        </w:rPr>
      </w:pPr>
      <w:r w:rsidRPr="007D2B30">
        <w:rPr>
          <w:b/>
        </w:rPr>
        <w:t>Modalità della programmazione della misura: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711"/>
      </w:tblGrid>
      <w:tr w:rsidR="00842D3F" w:rsidRPr="00BC3905" w:rsidTr="00097368">
        <w:trPr>
          <w:cantSplit/>
        </w:trPr>
        <w:tc>
          <w:tcPr>
            <w:tcW w:w="3369" w:type="dxa"/>
            <w:shd w:val="clear" w:color="auto" w:fill="auto"/>
          </w:tcPr>
          <w:p w:rsidR="00842D3F" w:rsidRPr="00E10FCB" w:rsidRDefault="00842D3F" w:rsidP="00DA0C99">
            <w:pPr>
              <w:rPr>
                <w:b/>
              </w:rPr>
            </w:pPr>
            <w:r w:rsidRPr="00E10FCB">
              <w:rPr>
                <w:b/>
              </w:rPr>
              <w:t>Fasi/attività per la sua attuazione</w:t>
            </w:r>
          </w:p>
        </w:tc>
        <w:tc>
          <w:tcPr>
            <w:tcW w:w="6711" w:type="dxa"/>
            <w:shd w:val="clear" w:color="auto" w:fill="auto"/>
          </w:tcPr>
          <w:p w:rsidR="00097368" w:rsidRPr="00E10FCB" w:rsidRDefault="00097368" w:rsidP="00097368">
            <w:pPr>
              <w:spacing w:line="240" w:lineRule="auto"/>
            </w:pPr>
            <w:r w:rsidRPr="00E10FCB">
              <w:t xml:space="preserve">Per il </w:t>
            </w:r>
            <w:r w:rsidR="00E10FCB" w:rsidRPr="00E10FCB">
              <w:t>2022</w:t>
            </w:r>
            <w:r w:rsidRPr="00E10FCB">
              <w:t xml:space="preserve">, si </w:t>
            </w:r>
            <w:r w:rsidR="00AA4E10" w:rsidRPr="00E10FCB">
              <w:t>attuerà la</w:t>
            </w:r>
            <w:r w:rsidRPr="00E10FCB">
              <w:t xml:space="preserve"> misura come sopra descritta, perseguendo i seguenti traguardi:</w:t>
            </w:r>
          </w:p>
          <w:p w:rsidR="00097368" w:rsidRPr="00E10FCB" w:rsidRDefault="00097368" w:rsidP="00097368">
            <w:pPr>
              <w:spacing w:line="240" w:lineRule="auto"/>
              <w:rPr>
                <w:b/>
              </w:rPr>
            </w:pPr>
            <w:r w:rsidRPr="00E10FCB">
              <w:rPr>
                <w:b/>
              </w:rPr>
              <w:t xml:space="preserve">Casi </w:t>
            </w:r>
            <w:proofErr w:type="spellStart"/>
            <w:r w:rsidRPr="00E10FCB">
              <w:rPr>
                <w:b/>
                <w:i/>
              </w:rPr>
              <w:t>pantouflage</w:t>
            </w:r>
            <w:proofErr w:type="spellEnd"/>
            <w:r w:rsidRPr="00E10FCB">
              <w:rPr>
                <w:b/>
              </w:rPr>
              <w:t xml:space="preserve"> evidenziatisi anno </w:t>
            </w:r>
            <w:r w:rsidR="00E10FCB" w:rsidRPr="00E10FCB">
              <w:rPr>
                <w:b/>
              </w:rPr>
              <w:t>2022</w:t>
            </w:r>
          </w:p>
          <w:p w:rsidR="00097368" w:rsidRPr="00E10FCB" w:rsidRDefault="00097368" w:rsidP="00097368">
            <w:pPr>
              <w:spacing w:line="240" w:lineRule="auto"/>
            </w:pPr>
            <w:r w:rsidRPr="00E10FCB">
              <w:t>n. 0</w:t>
            </w:r>
          </w:p>
          <w:p w:rsidR="00097368" w:rsidRPr="00E10FCB" w:rsidRDefault="00097368" w:rsidP="00097368">
            <w:pPr>
              <w:spacing w:line="240" w:lineRule="auto"/>
              <w:rPr>
                <w:b/>
              </w:rPr>
            </w:pPr>
            <w:r w:rsidRPr="00E10FCB">
              <w:rPr>
                <w:b/>
              </w:rPr>
              <w:t>Capitolati speciali d’appalto o Disciplinari di gara + Contratti/Lettere commerciali manchevoli dell’apposita clausola</w:t>
            </w:r>
          </w:p>
          <w:p w:rsidR="00842D3F" w:rsidRPr="00BC3905" w:rsidRDefault="00097368" w:rsidP="00097368">
            <w:pPr>
              <w:rPr>
                <w:b/>
              </w:rPr>
            </w:pPr>
            <w:r w:rsidRPr="00E10FCB">
              <w:t>100%</w:t>
            </w:r>
          </w:p>
        </w:tc>
      </w:tr>
      <w:tr w:rsidR="00842D3F" w:rsidRPr="00BC3905" w:rsidTr="00097368">
        <w:trPr>
          <w:cantSplit/>
        </w:trPr>
        <w:tc>
          <w:tcPr>
            <w:tcW w:w="3369" w:type="dxa"/>
            <w:shd w:val="clear" w:color="auto" w:fill="auto"/>
          </w:tcPr>
          <w:p w:rsidR="00842D3F" w:rsidRPr="00BC3905" w:rsidRDefault="00842D3F" w:rsidP="00DA0C99">
            <w:pPr>
              <w:rPr>
                <w:b/>
              </w:rPr>
            </w:pPr>
            <w:r w:rsidRPr="00BC3905">
              <w:rPr>
                <w:b/>
              </w:rPr>
              <w:t>Tempi di attuazione</w:t>
            </w:r>
          </w:p>
        </w:tc>
        <w:tc>
          <w:tcPr>
            <w:tcW w:w="6711" w:type="dxa"/>
            <w:shd w:val="clear" w:color="auto" w:fill="auto"/>
          </w:tcPr>
          <w:p w:rsidR="00842D3F" w:rsidRPr="00097368" w:rsidRDefault="00842D3F" w:rsidP="00DA0C99">
            <w:pPr>
              <w:rPr>
                <w:bCs/>
              </w:rPr>
            </w:pPr>
            <w:r w:rsidRPr="00097368">
              <w:rPr>
                <w:bCs/>
              </w:rPr>
              <w:t>Costante nel tempo</w:t>
            </w:r>
          </w:p>
        </w:tc>
      </w:tr>
      <w:tr w:rsidR="00842D3F" w:rsidRPr="00BC3905" w:rsidTr="00097368">
        <w:trPr>
          <w:cantSplit/>
        </w:trPr>
        <w:tc>
          <w:tcPr>
            <w:tcW w:w="3369" w:type="dxa"/>
            <w:shd w:val="clear" w:color="auto" w:fill="auto"/>
          </w:tcPr>
          <w:p w:rsidR="00842D3F" w:rsidRPr="00BC3905" w:rsidRDefault="00842D3F" w:rsidP="00DA0C99">
            <w:pPr>
              <w:rPr>
                <w:b/>
              </w:rPr>
            </w:pPr>
            <w:r w:rsidRPr="00BC3905">
              <w:rPr>
                <w:b/>
              </w:rPr>
              <w:t>Responsabili della sua attuazione</w:t>
            </w:r>
          </w:p>
        </w:tc>
        <w:tc>
          <w:tcPr>
            <w:tcW w:w="6711" w:type="dxa"/>
            <w:shd w:val="clear" w:color="auto" w:fill="auto"/>
          </w:tcPr>
          <w:p w:rsidR="00842D3F" w:rsidRPr="00097368" w:rsidRDefault="00097368" w:rsidP="00842D3F">
            <w:pPr>
              <w:rPr>
                <w:bCs/>
              </w:rPr>
            </w:pPr>
            <w:r>
              <w:rPr>
                <w:bCs/>
              </w:rPr>
              <w:t>Amministrazione</w:t>
            </w:r>
            <w:r w:rsidR="00842D3F" w:rsidRPr="00097368">
              <w:rPr>
                <w:bCs/>
              </w:rPr>
              <w:t xml:space="preserve"> per la corretta indicazione nei bandi di gara della clausola</w:t>
            </w:r>
          </w:p>
        </w:tc>
      </w:tr>
      <w:tr w:rsidR="00842D3F" w:rsidRPr="00BC3905" w:rsidTr="00097368">
        <w:trPr>
          <w:cantSplit/>
        </w:trPr>
        <w:tc>
          <w:tcPr>
            <w:tcW w:w="3369" w:type="dxa"/>
            <w:shd w:val="clear" w:color="auto" w:fill="auto"/>
          </w:tcPr>
          <w:p w:rsidR="00842D3F" w:rsidRPr="00BC3905" w:rsidRDefault="00842D3F" w:rsidP="00DA0C99">
            <w:pPr>
              <w:rPr>
                <w:b/>
              </w:rPr>
            </w:pPr>
            <w:r w:rsidRPr="00BC3905">
              <w:rPr>
                <w:b/>
              </w:rPr>
              <w:t>Indicatori di monitoraggio</w:t>
            </w:r>
          </w:p>
        </w:tc>
        <w:tc>
          <w:tcPr>
            <w:tcW w:w="6711" w:type="dxa"/>
            <w:shd w:val="clear" w:color="auto" w:fill="auto"/>
          </w:tcPr>
          <w:p w:rsidR="00842D3F" w:rsidRPr="00097368" w:rsidRDefault="00842D3F" w:rsidP="00DA0C99">
            <w:pPr>
              <w:rPr>
                <w:bCs/>
              </w:rPr>
            </w:pPr>
            <w:r w:rsidRPr="00097368">
              <w:rPr>
                <w:bCs/>
              </w:rPr>
              <w:t xml:space="preserve">Bandi di </w:t>
            </w:r>
            <w:r w:rsidR="00097368">
              <w:rPr>
                <w:bCs/>
              </w:rPr>
              <w:t>gara</w:t>
            </w:r>
            <w:r w:rsidRPr="00097368">
              <w:rPr>
                <w:bCs/>
              </w:rPr>
              <w:t>, Capitolati speciali d’appalto o Disciplinari di gara manchevoli dell’apposita clausola: 0%</w:t>
            </w:r>
          </w:p>
        </w:tc>
      </w:tr>
      <w:tr w:rsidR="00842D3F" w:rsidRPr="00BC3905" w:rsidTr="00097368">
        <w:trPr>
          <w:cantSplit/>
        </w:trPr>
        <w:tc>
          <w:tcPr>
            <w:tcW w:w="3369" w:type="dxa"/>
            <w:shd w:val="clear" w:color="auto" w:fill="auto"/>
          </w:tcPr>
          <w:p w:rsidR="00842D3F" w:rsidRPr="00BC3905" w:rsidRDefault="00842D3F" w:rsidP="00DA0C99">
            <w:pPr>
              <w:rPr>
                <w:b/>
              </w:rPr>
            </w:pPr>
            <w:r>
              <w:rPr>
                <w:b/>
              </w:rPr>
              <w:lastRenderedPageBreak/>
              <w:t>Attuazione della misura</w:t>
            </w:r>
          </w:p>
        </w:tc>
        <w:tc>
          <w:tcPr>
            <w:tcW w:w="6711" w:type="dxa"/>
            <w:shd w:val="clear" w:color="auto" w:fill="auto"/>
          </w:tcPr>
          <w:p w:rsidR="00842D3F" w:rsidRPr="00097368" w:rsidRDefault="00842D3F" w:rsidP="00DA0C99">
            <w:pPr>
              <w:rPr>
                <w:bCs/>
              </w:rPr>
            </w:pPr>
            <w:r w:rsidRPr="00097368">
              <w:rPr>
                <w:bCs/>
              </w:rPr>
              <w:t xml:space="preserve">Casi </w:t>
            </w:r>
            <w:proofErr w:type="spellStart"/>
            <w:r w:rsidRPr="00097368">
              <w:rPr>
                <w:bCs/>
              </w:rPr>
              <w:t>pantouflage</w:t>
            </w:r>
            <w:proofErr w:type="spellEnd"/>
            <w:r w:rsidRPr="00097368">
              <w:rPr>
                <w:bCs/>
              </w:rPr>
              <w:t xml:space="preserve"> evidenziatisi:</w:t>
            </w:r>
          </w:p>
          <w:p w:rsidR="00842D3F" w:rsidRPr="00097368" w:rsidRDefault="00842D3F" w:rsidP="00DA0C99">
            <w:pPr>
              <w:rPr>
                <w:bCs/>
              </w:rPr>
            </w:pPr>
            <w:r w:rsidRPr="00097368">
              <w:rPr>
                <w:bCs/>
              </w:rPr>
              <w:t>2018: 0</w:t>
            </w:r>
          </w:p>
          <w:p w:rsidR="00842D3F" w:rsidRDefault="00842D3F" w:rsidP="00DA0C99">
            <w:pPr>
              <w:rPr>
                <w:bCs/>
              </w:rPr>
            </w:pPr>
            <w:r w:rsidRPr="00097368">
              <w:rPr>
                <w:bCs/>
              </w:rPr>
              <w:t>2019: 0</w:t>
            </w:r>
          </w:p>
          <w:p w:rsidR="00097368" w:rsidRDefault="00097368" w:rsidP="00DA0C99">
            <w:pPr>
              <w:rPr>
                <w:bCs/>
              </w:rPr>
            </w:pPr>
            <w:r>
              <w:rPr>
                <w:bCs/>
              </w:rPr>
              <w:t>2020: 0</w:t>
            </w:r>
          </w:p>
          <w:p w:rsidR="00E10FCB" w:rsidRPr="00097368" w:rsidRDefault="00E10FCB" w:rsidP="00DA0C99">
            <w:pPr>
              <w:rPr>
                <w:bCs/>
              </w:rPr>
            </w:pPr>
            <w:r>
              <w:rPr>
                <w:bCs/>
              </w:rPr>
              <w:t>2021: 0</w:t>
            </w:r>
          </w:p>
        </w:tc>
      </w:tr>
    </w:tbl>
    <w:p w:rsidR="00842D3F" w:rsidRPr="00842D3F" w:rsidRDefault="00842D3F" w:rsidP="00842D3F">
      <w:pPr>
        <w:rPr>
          <w:rFonts w:eastAsia="MS Mincho"/>
          <w:lang w:eastAsia="ja-JP"/>
        </w:rPr>
      </w:pPr>
    </w:p>
    <w:p w:rsidR="004B223A" w:rsidRPr="004E614E" w:rsidRDefault="00C728EC" w:rsidP="004E614E">
      <w:pPr>
        <w:pStyle w:val="Titolo3"/>
      </w:pPr>
      <w:bookmarkStart w:id="201" w:name="_Toc28966908"/>
      <w:bookmarkStart w:id="202" w:name="_Toc28967128"/>
      <w:bookmarkStart w:id="203" w:name="_Toc28967381"/>
      <w:bookmarkStart w:id="204" w:name="_Toc101602043"/>
      <w:r w:rsidRPr="004E614E">
        <w:t>H. Commissioni e conferimento incarichi in caso di condanna</w:t>
      </w:r>
      <w:bookmarkEnd w:id="201"/>
      <w:bookmarkEnd w:id="202"/>
      <w:bookmarkEnd w:id="203"/>
      <w:bookmarkEnd w:id="204"/>
    </w:p>
    <w:p w:rsidR="004B223A" w:rsidRPr="00B67FEC" w:rsidRDefault="00EC0950" w:rsidP="0049154B">
      <w:pPr>
        <w:rPr>
          <w:rFonts w:eastAsia="MS Mincho" w:cs="Calibri"/>
          <w:lang w:eastAsia="ja-JP"/>
        </w:rPr>
      </w:pPr>
      <w:r>
        <w:rPr>
          <w:rFonts w:eastAsia="MS Mincho" w:cs="Calibri"/>
          <w:lang w:eastAsia="ja-JP"/>
        </w:rPr>
        <w:t>Segrate Servizi Srl</w:t>
      </w:r>
      <w:r w:rsidR="004B223A" w:rsidRPr="00B67FEC">
        <w:rPr>
          <w:rFonts w:eastAsia="MS Mincho" w:cs="Calibri"/>
          <w:lang w:eastAsia="ja-JP"/>
        </w:rPr>
        <w:t xml:space="preserve"> intende programma</w:t>
      </w:r>
      <w:r w:rsidR="00115A0D" w:rsidRPr="00B67FEC">
        <w:rPr>
          <w:rFonts w:eastAsia="MS Mincho" w:cs="Calibri"/>
          <w:lang w:eastAsia="ja-JP"/>
        </w:rPr>
        <w:t>re</w:t>
      </w:r>
      <w:r w:rsidR="004B223A" w:rsidRPr="00B67FEC">
        <w:rPr>
          <w:rFonts w:eastAsia="MS Mincho" w:cs="Calibri"/>
          <w:lang w:eastAsia="ja-JP"/>
        </w:rPr>
        <w:t xml:space="preserve"> interventi idonei a garantire l'adozione (e/o la corretta e continua attuazione) della misura "Commissioni, assegnazioni di uffici e conferimento di incarichi in caso di con</w:t>
      </w:r>
      <w:r w:rsidR="00474C73">
        <w:rPr>
          <w:rFonts w:eastAsia="MS Mincho" w:cs="Calibri"/>
          <w:lang w:eastAsia="ja-JP"/>
        </w:rPr>
        <w:t>danna per delitti contro le PA".</w:t>
      </w:r>
    </w:p>
    <w:p w:rsidR="004B223A" w:rsidRDefault="004B223A" w:rsidP="0049154B">
      <w:pPr>
        <w:rPr>
          <w:rFonts w:eastAsia="MS Mincho" w:cs="Calibri"/>
          <w:szCs w:val="20"/>
          <w:lang w:eastAsia="ja-JP"/>
        </w:rPr>
      </w:pPr>
      <w:r w:rsidRPr="00B67FEC">
        <w:rPr>
          <w:rFonts w:eastAsia="MS Mincho" w:cs="Calibri"/>
          <w:szCs w:val="20"/>
          <w:lang w:eastAsia="ja-JP"/>
        </w:rPr>
        <w:t xml:space="preserve">Tutte le nomine e le designazioni preordinate al conferimento di incarichi da parte </w:t>
      </w:r>
      <w:r w:rsidR="00520C5E" w:rsidRPr="00B67FEC">
        <w:rPr>
          <w:rFonts w:eastAsia="MS Mincho" w:cs="Calibri"/>
          <w:szCs w:val="20"/>
          <w:lang w:eastAsia="ja-JP"/>
        </w:rPr>
        <w:t xml:space="preserve">della </w:t>
      </w:r>
      <w:r w:rsidR="00F902C5" w:rsidRPr="00B67FEC">
        <w:rPr>
          <w:rFonts w:eastAsia="MS Mincho" w:cs="Calibri"/>
          <w:szCs w:val="20"/>
          <w:lang w:eastAsia="ja-JP"/>
        </w:rPr>
        <w:t>Società</w:t>
      </w:r>
      <w:r w:rsidRPr="00B67FEC">
        <w:rPr>
          <w:rFonts w:eastAsia="MS Mincho" w:cs="Calibri"/>
          <w:szCs w:val="20"/>
          <w:lang w:eastAsia="ja-JP"/>
        </w:rPr>
        <w:t xml:space="preserve"> quale membro di commissione o altro incarico fiduciario devono essere precedute da apposita dichiarazione sostitutiva del designato o del nominato, della quale in ragione del contenuto dell’incarico deve essere asserita l’insussistenza di condanne per delitti contro la </w:t>
      </w:r>
      <w:proofErr w:type="spellStart"/>
      <w:r w:rsidRPr="00B67FEC">
        <w:rPr>
          <w:rFonts w:eastAsia="MS Mincho" w:cs="Calibri"/>
          <w:szCs w:val="20"/>
          <w:lang w:eastAsia="ja-JP"/>
        </w:rPr>
        <w:t>PA</w:t>
      </w:r>
      <w:proofErr w:type="spellEnd"/>
      <w:r w:rsidRPr="00B67FEC">
        <w:rPr>
          <w:rFonts w:eastAsia="MS Mincho" w:cs="Calibri"/>
          <w:szCs w:val="20"/>
          <w:lang w:eastAsia="ja-JP"/>
        </w:rPr>
        <w:t>.</w:t>
      </w:r>
    </w:p>
    <w:p w:rsidR="00AA4E10" w:rsidRDefault="00AA4E10" w:rsidP="00E10FCB">
      <w:pPr>
        <w:rPr>
          <w:rFonts w:eastAsia="MS Mincho"/>
          <w:szCs w:val="20"/>
          <w:lang w:eastAsia="ja-JP"/>
        </w:rPr>
      </w:pPr>
      <w:r w:rsidRPr="00E10FCB">
        <w:rPr>
          <w:rFonts w:eastAsia="MS Mincho"/>
          <w:szCs w:val="20"/>
          <w:lang w:eastAsia="ja-JP"/>
        </w:rPr>
        <w:t>A tali fini, si utilizzerà l’apposito modello allegato “7. Dichiarazione assenza condanne per delitti contro la PA”.</w:t>
      </w:r>
    </w:p>
    <w:p w:rsidR="004B223A" w:rsidRPr="00B67FEC" w:rsidRDefault="004B223A" w:rsidP="0049154B">
      <w:pPr>
        <w:rPr>
          <w:rFonts w:cs="Calibri"/>
          <w:szCs w:val="20"/>
        </w:rPr>
      </w:pPr>
      <w:r w:rsidRPr="00B67FEC">
        <w:rPr>
          <w:rFonts w:eastAsia="MS Mincho" w:cs="Calibri"/>
          <w:szCs w:val="20"/>
          <w:lang w:eastAsia="ja-JP"/>
        </w:rPr>
        <w:t xml:space="preserve">Per quanto attiene il controllo della veridicità di tali dichiarazioni, </w:t>
      </w:r>
      <w:r w:rsidR="00EC0950">
        <w:rPr>
          <w:rFonts w:cs="Calibri"/>
          <w:szCs w:val="20"/>
        </w:rPr>
        <w:t>Segrate Servizi Srl</w:t>
      </w:r>
      <w:r w:rsidRPr="00B67FEC">
        <w:rPr>
          <w:rFonts w:cs="Calibri"/>
          <w:szCs w:val="20"/>
        </w:rPr>
        <w:t xml:space="preserve"> </w:t>
      </w:r>
      <w:r w:rsidR="00E10FCB">
        <w:rPr>
          <w:rFonts w:cs="Calibri"/>
          <w:szCs w:val="20"/>
        </w:rPr>
        <w:t>valuterà se procedere</w:t>
      </w:r>
      <w:r w:rsidRPr="00B67FEC">
        <w:rPr>
          <w:rFonts w:cs="Calibri"/>
          <w:szCs w:val="20"/>
        </w:rPr>
        <w:t xml:space="preserve"> a richiedere annualmente il certificato carichi pendenti degli incaricati (Commissari di gara, altri incaricati fiduciari).</w:t>
      </w:r>
    </w:p>
    <w:p w:rsidR="004B223A" w:rsidRPr="00B67FEC" w:rsidRDefault="004B223A" w:rsidP="0049154B">
      <w:pPr>
        <w:rPr>
          <w:rFonts w:eastAsia="MS Mincho" w:cs="Calibri"/>
          <w:lang w:eastAsia="ja-JP"/>
        </w:rPr>
      </w:pPr>
    </w:p>
    <w:p w:rsidR="004B223A" w:rsidRPr="00B67FEC" w:rsidRDefault="004B223A" w:rsidP="0049154B">
      <w:pPr>
        <w:rPr>
          <w:rFonts w:cs="Calibri"/>
          <w:b/>
        </w:rPr>
      </w:pPr>
      <w:r w:rsidRPr="00B67FEC">
        <w:rPr>
          <w:rFonts w:cs="Calibri"/>
          <w:b/>
        </w:rPr>
        <w:t>Modalità della programmazione della misura: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62"/>
      </w:tblGrid>
      <w:tr w:rsidR="004B223A" w:rsidRPr="00B67FEC" w:rsidTr="00E50E41">
        <w:tc>
          <w:tcPr>
            <w:tcW w:w="2518" w:type="dxa"/>
            <w:shd w:val="clear" w:color="auto" w:fill="auto"/>
          </w:tcPr>
          <w:p w:rsidR="004B223A" w:rsidRPr="00E10FCB" w:rsidRDefault="004B223A" w:rsidP="00E50E41">
            <w:pPr>
              <w:spacing w:line="276" w:lineRule="auto"/>
              <w:jc w:val="left"/>
              <w:rPr>
                <w:rFonts w:cs="Calibri"/>
                <w:b/>
              </w:rPr>
            </w:pPr>
            <w:r w:rsidRPr="00E10FCB">
              <w:rPr>
                <w:rFonts w:cs="Calibri"/>
                <w:b/>
              </w:rPr>
              <w:t>Fasi/attività per la sua attuazione</w:t>
            </w:r>
          </w:p>
        </w:tc>
        <w:tc>
          <w:tcPr>
            <w:tcW w:w="7562" w:type="dxa"/>
            <w:shd w:val="clear" w:color="auto" w:fill="auto"/>
          </w:tcPr>
          <w:p w:rsidR="00AA4E10" w:rsidRPr="00E10FCB" w:rsidRDefault="00AA4E10" w:rsidP="00AA4E10">
            <w:pPr>
              <w:spacing w:line="240" w:lineRule="auto"/>
            </w:pPr>
            <w:r w:rsidRPr="00E10FCB">
              <w:t xml:space="preserve">Per il </w:t>
            </w:r>
            <w:r w:rsidR="00E10FCB" w:rsidRPr="00E10FCB">
              <w:t>2022</w:t>
            </w:r>
            <w:r w:rsidRPr="00E10FCB">
              <w:t>, si attuerà la</w:t>
            </w:r>
            <w:bookmarkStart w:id="205" w:name="_Toc472243234"/>
            <w:bookmarkStart w:id="206" w:name="_Toc28881654"/>
            <w:r w:rsidRPr="00E10FCB">
              <w:t xml:space="preserve"> misura come sopra descritta, perseguendo i seguenti traguardi:</w:t>
            </w:r>
          </w:p>
          <w:p w:rsidR="00AA4E10" w:rsidRPr="00E10FCB" w:rsidRDefault="00AA4E10" w:rsidP="00AA4E10">
            <w:pPr>
              <w:spacing w:line="240" w:lineRule="auto"/>
              <w:rPr>
                <w:b/>
              </w:rPr>
            </w:pPr>
            <w:r w:rsidRPr="00E10FCB">
              <w:rPr>
                <w:b/>
              </w:rPr>
              <w:t xml:space="preserve">Casi violazioni evidenziate anno </w:t>
            </w:r>
            <w:r w:rsidR="00E10FCB" w:rsidRPr="00E10FCB">
              <w:rPr>
                <w:b/>
              </w:rPr>
              <w:t>2022</w:t>
            </w:r>
          </w:p>
          <w:p w:rsidR="00AA4E10" w:rsidRPr="00E10FCB" w:rsidRDefault="00AA4E10" w:rsidP="00AA4E10">
            <w:pPr>
              <w:spacing w:line="240" w:lineRule="auto"/>
            </w:pPr>
            <w:r w:rsidRPr="00E10FCB">
              <w:t>n. 0</w:t>
            </w:r>
          </w:p>
          <w:p w:rsidR="00AA4E10" w:rsidRPr="00E10FCB" w:rsidRDefault="00AA4E10" w:rsidP="00AA4E10">
            <w:pPr>
              <w:spacing w:line="240" w:lineRule="auto"/>
              <w:rPr>
                <w:b/>
              </w:rPr>
            </w:pPr>
            <w:r w:rsidRPr="00E10FCB">
              <w:rPr>
                <w:b/>
              </w:rPr>
              <w:t xml:space="preserve">Verifiche </w:t>
            </w:r>
          </w:p>
          <w:p w:rsidR="004B223A" w:rsidRPr="00B67FEC" w:rsidRDefault="00AA4E10" w:rsidP="00AA4E10">
            <w:pPr>
              <w:spacing w:line="276" w:lineRule="auto"/>
              <w:rPr>
                <w:rFonts w:cs="Calibri"/>
                <w:b/>
              </w:rPr>
            </w:pPr>
            <w:r w:rsidRPr="00E10FCB">
              <w:t>100%</w:t>
            </w:r>
          </w:p>
        </w:tc>
      </w:tr>
      <w:tr w:rsidR="004B223A" w:rsidRPr="00B67FEC" w:rsidTr="00E50E41">
        <w:tc>
          <w:tcPr>
            <w:tcW w:w="2518" w:type="dxa"/>
            <w:shd w:val="clear" w:color="auto" w:fill="auto"/>
          </w:tcPr>
          <w:p w:rsidR="004B223A" w:rsidRPr="00B67FEC" w:rsidRDefault="004B223A" w:rsidP="00E50E41">
            <w:pPr>
              <w:spacing w:line="276" w:lineRule="auto"/>
              <w:jc w:val="left"/>
              <w:rPr>
                <w:rFonts w:cs="Calibri"/>
                <w:b/>
              </w:rPr>
            </w:pPr>
            <w:r w:rsidRPr="00B67FEC">
              <w:rPr>
                <w:rFonts w:cs="Calibri"/>
                <w:b/>
              </w:rPr>
              <w:t>Tempi di attuazione</w:t>
            </w:r>
          </w:p>
        </w:tc>
        <w:tc>
          <w:tcPr>
            <w:tcW w:w="7562" w:type="dxa"/>
            <w:shd w:val="clear" w:color="auto" w:fill="auto"/>
          </w:tcPr>
          <w:p w:rsidR="004B223A" w:rsidRPr="00AA4E10" w:rsidRDefault="004B223A" w:rsidP="00E50E41">
            <w:pPr>
              <w:spacing w:line="276" w:lineRule="auto"/>
              <w:rPr>
                <w:rFonts w:cs="Calibri"/>
                <w:bCs/>
              </w:rPr>
            </w:pPr>
            <w:r w:rsidRPr="00AA4E10">
              <w:rPr>
                <w:rFonts w:cs="Calibri"/>
                <w:bCs/>
              </w:rPr>
              <w:t>Costante nel tempo</w:t>
            </w:r>
          </w:p>
        </w:tc>
      </w:tr>
      <w:tr w:rsidR="004B223A" w:rsidRPr="00B67FEC" w:rsidTr="00E50E41">
        <w:tc>
          <w:tcPr>
            <w:tcW w:w="2518" w:type="dxa"/>
            <w:shd w:val="clear" w:color="auto" w:fill="auto"/>
          </w:tcPr>
          <w:p w:rsidR="004B223A" w:rsidRPr="00B67FEC" w:rsidRDefault="004B223A" w:rsidP="00E50E41">
            <w:pPr>
              <w:spacing w:line="276" w:lineRule="auto"/>
              <w:jc w:val="left"/>
              <w:rPr>
                <w:rFonts w:cs="Calibri"/>
                <w:b/>
              </w:rPr>
            </w:pPr>
            <w:r w:rsidRPr="00B67FEC">
              <w:rPr>
                <w:rFonts w:cs="Calibri"/>
                <w:b/>
              </w:rPr>
              <w:t>Responsabili della sua attuazione</w:t>
            </w:r>
          </w:p>
        </w:tc>
        <w:tc>
          <w:tcPr>
            <w:tcW w:w="7562" w:type="dxa"/>
            <w:shd w:val="clear" w:color="auto" w:fill="auto"/>
          </w:tcPr>
          <w:p w:rsidR="004B223A" w:rsidRPr="00AA4E10" w:rsidRDefault="004B223A" w:rsidP="00E50E41">
            <w:pPr>
              <w:spacing w:line="276" w:lineRule="auto"/>
              <w:rPr>
                <w:rFonts w:cs="Calibri"/>
                <w:bCs/>
              </w:rPr>
            </w:pPr>
            <w:r w:rsidRPr="00AA4E10">
              <w:rPr>
                <w:rFonts w:cs="Calibri"/>
                <w:bCs/>
              </w:rPr>
              <w:t>RPC per attivazione della misura</w:t>
            </w:r>
          </w:p>
          <w:p w:rsidR="00655019" w:rsidRPr="00AA4E10" w:rsidRDefault="00655019" w:rsidP="00E50E41">
            <w:pPr>
              <w:spacing w:line="276" w:lineRule="auto"/>
              <w:rPr>
                <w:rFonts w:cs="Calibri"/>
                <w:bCs/>
              </w:rPr>
            </w:pPr>
            <w:r w:rsidRPr="00AA4E10">
              <w:rPr>
                <w:rFonts w:cs="Calibri"/>
                <w:bCs/>
              </w:rPr>
              <w:t>Servizio Amministrativo per la verifica delle dichiarazioni ricevute</w:t>
            </w:r>
          </w:p>
        </w:tc>
      </w:tr>
      <w:tr w:rsidR="004B223A" w:rsidRPr="00B67FEC" w:rsidTr="00E50E41">
        <w:tc>
          <w:tcPr>
            <w:tcW w:w="2518" w:type="dxa"/>
            <w:shd w:val="clear" w:color="auto" w:fill="auto"/>
          </w:tcPr>
          <w:p w:rsidR="004B223A" w:rsidRPr="00B67FEC" w:rsidRDefault="004B223A" w:rsidP="00E50E41">
            <w:pPr>
              <w:spacing w:line="276" w:lineRule="auto"/>
              <w:jc w:val="left"/>
              <w:rPr>
                <w:rFonts w:cs="Calibri"/>
                <w:b/>
              </w:rPr>
            </w:pPr>
            <w:r w:rsidRPr="00B67FEC">
              <w:rPr>
                <w:rFonts w:cs="Calibri"/>
                <w:b/>
              </w:rPr>
              <w:t>Indicatori di monitoraggio</w:t>
            </w:r>
          </w:p>
        </w:tc>
        <w:tc>
          <w:tcPr>
            <w:tcW w:w="7562" w:type="dxa"/>
            <w:shd w:val="clear" w:color="auto" w:fill="auto"/>
          </w:tcPr>
          <w:p w:rsidR="004B223A" w:rsidRPr="00AA4E10" w:rsidRDefault="00E10FCB" w:rsidP="00E50E41">
            <w:pPr>
              <w:spacing w:line="276" w:lineRule="auto"/>
              <w:rPr>
                <w:rFonts w:cs="Calibri"/>
                <w:bCs/>
              </w:rPr>
            </w:pPr>
            <w:r>
              <w:rPr>
                <w:rFonts w:cs="Calibri"/>
                <w:bCs/>
              </w:rPr>
              <w:t>Richiesta attestazione per incaricato</w:t>
            </w:r>
            <w:r w:rsidR="004B223A" w:rsidRPr="00AA4E10">
              <w:rPr>
                <w:rFonts w:cs="Calibri"/>
                <w:bCs/>
              </w:rPr>
              <w:t>: 100%</w:t>
            </w:r>
          </w:p>
        </w:tc>
      </w:tr>
      <w:tr w:rsidR="00E50E41" w:rsidRPr="00B67FEC" w:rsidTr="00E50E41">
        <w:tc>
          <w:tcPr>
            <w:tcW w:w="2518" w:type="dxa"/>
            <w:shd w:val="clear" w:color="auto" w:fill="auto"/>
          </w:tcPr>
          <w:p w:rsidR="00E50E41" w:rsidRPr="00B67FEC" w:rsidRDefault="00E50E41" w:rsidP="00E50E41">
            <w:pPr>
              <w:spacing w:line="276" w:lineRule="auto"/>
              <w:jc w:val="left"/>
              <w:rPr>
                <w:rFonts w:cs="Calibri"/>
                <w:b/>
              </w:rPr>
            </w:pPr>
            <w:r w:rsidRPr="00B67FEC">
              <w:rPr>
                <w:rFonts w:cs="Calibri"/>
                <w:b/>
              </w:rPr>
              <w:t>Attuazione della misura</w:t>
            </w:r>
          </w:p>
        </w:tc>
        <w:tc>
          <w:tcPr>
            <w:tcW w:w="7562" w:type="dxa"/>
            <w:shd w:val="clear" w:color="auto" w:fill="auto"/>
          </w:tcPr>
          <w:p w:rsidR="00737034" w:rsidRDefault="00E50E41" w:rsidP="00E50E41">
            <w:pPr>
              <w:spacing w:line="276" w:lineRule="auto"/>
              <w:rPr>
                <w:rFonts w:cs="Calibri"/>
                <w:bCs/>
              </w:rPr>
            </w:pPr>
            <w:r w:rsidRPr="00AA4E10">
              <w:rPr>
                <w:rFonts w:cs="Calibri"/>
                <w:bCs/>
              </w:rPr>
              <w:t>2020</w:t>
            </w:r>
            <w:r w:rsidR="00737034">
              <w:rPr>
                <w:rFonts w:cs="Calibri"/>
                <w:bCs/>
              </w:rPr>
              <w:t>: non valutabile</w:t>
            </w:r>
          </w:p>
          <w:p w:rsidR="00E10FCB" w:rsidRPr="00AA4E10" w:rsidRDefault="00E10FCB" w:rsidP="00E50E41">
            <w:pPr>
              <w:spacing w:line="276" w:lineRule="auto"/>
              <w:rPr>
                <w:rFonts w:cs="Calibri"/>
                <w:bCs/>
              </w:rPr>
            </w:pPr>
            <w:r>
              <w:rPr>
                <w:rFonts w:cs="Calibri"/>
                <w:bCs/>
              </w:rPr>
              <w:t>2021: 100%</w:t>
            </w:r>
          </w:p>
        </w:tc>
      </w:tr>
    </w:tbl>
    <w:p w:rsidR="004B223A" w:rsidRPr="00B67FEC" w:rsidRDefault="004B223A" w:rsidP="0049154B">
      <w:pPr>
        <w:rPr>
          <w:rFonts w:eastAsia="MS Mincho" w:cs="Calibri"/>
          <w:szCs w:val="20"/>
          <w:lang w:eastAsia="ja-JP"/>
        </w:rPr>
      </w:pPr>
    </w:p>
    <w:p w:rsidR="004B223A" w:rsidRPr="008F710D" w:rsidRDefault="00C728EC" w:rsidP="004E614E">
      <w:pPr>
        <w:pStyle w:val="Titolo3"/>
      </w:pPr>
      <w:bookmarkStart w:id="207" w:name="_Toc28966909"/>
      <w:bookmarkStart w:id="208" w:name="_Toc28967129"/>
      <w:bookmarkStart w:id="209" w:name="_Toc28967382"/>
      <w:bookmarkStart w:id="210" w:name="_Toc101602044"/>
      <w:r w:rsidRPr="008F710D">
        <w:t xml:space="preserve">I. Patti di </w:t>
      </w:r>
      <w:bookmarkEnd w:id="207"/>
      <w:bookmarkEnd w:id="208"/>
      <w:bookmarkEnd w:id="209"/>
      <w:r w:rsidR="00A762FE" w:rsidRPr="008F710D">
        <w:t>integrità</w:t>
      </w:r>
      <w:bookmarkEnd w:id="210"/>
    </w:p>
    <w:p w:rsidR="00675334" w:rsidRDefault="004B223A" w:rsidP="0049154B">
      <w:pPr>
        <w:rPr>
          <w:rFonts w:cs="Calibri"/>
        </w:rPr>
      </w:pPr>
      <w:r w:rsidRPr="00B67FEC">
        <w:rPr>
          <w:rFonts w:cs="Calibri"/>
        </w:rPr>
        <w:t xml:space="preserve">L’art. 1, c. 17, della legge n. 190/2012 prescrive che le stazioni appaltanti possono prevedere negli avvisi, bandi di gara o lettere di invito che il mancato rispetto delle clausole contenute nei protocolli di legalità o nei patti di integrità costituisce causa di esclusione dalla gara. </w:t>
      </w:r>
    </w:p>
    <w:p w:rsidR="00E72819" w:rsidRPr="00E10FCB" w:rsidRDefault="00E72819" w:rsidP="00E10FCB">
      <w:r w:rsidRPr="00E10FCB">
        <w:t>Il Patto di Integrità disciplina i comportamenti tenuti dagli operatori economici e dai dipendenti di Segrate Servizi, nell’ambito delle procedure di affidamento e gestione degli appalti di servizi e forniture di cui al d.lgs. 18 aprile 2016, n. 50. Il Patto di Integrità stabilisce la reciproca e formale obbligazione della Stazione appaltante e degli Operatori economici individuati ad improntare i propri comportamenti ai principi di lealtà, trasparenza e correttezza, nonché l’espresso impegno, in funzione di prevenzione amministrativa della corruzione, a non offrire, accettare o richiedere somme di denaro o qualsiasi altra ricompensa, vantaggio o beneficio indebito</w:t>
      </w:r>
      <w:r w:rsidRPr="00E10FCB">
        <w:rPr>
          <w:b/>
          <w:bCs/>
        </w:rPr>
        <w:t xml:space="preserve">. </w:t>
      </w:r>
      <w:r w:rsidRPr="00E10FCB">
        <w:t xml:space="preserve">Il Patto di Integrità costituisce parte </w:t>
      </w:r>
      <w:r w:rsidRPr="00E10FCB">
        <w:lastRenderedPageBreak/>
        <w:t>integrante dei contratti stipulati da Segrate Servizi. L’espressa accettazione dello stesso costituisce condizione di ammissione alle procedure di gara, a tutte le procedure negoziate e agli affidamenti di importo superiore a 40.000,00 euro, nonché per l’iscrizione all’Elenco Fornitori Telematico. Tale condizione deve essere esplicitamente prevista nei bandi di gara e nelle lettere d’invito nonché negli ordini di fornitura. Una copia del Patto di Integrità, sottoscritta per accettazione dal legale rappresentante dell’Operatore economico concorrente/affidatario, deve essere allegata alla documentazione amministrativa richiesta ai fini della procedura di affidamento o dell’iscrizione all’Elenco Fornitori Telematico. Per i consorzi ordinari o raggruppamenti temporanei l’obbligo riguarda tutti i consorziati o partecipanti al raggruppamento o consorzio. Il RUP o il Direttore provvede ad inserire negli avvisi, bandi di gara o lettere di invito delle future procedure di gara bandite dall’Azienda allegato “Patto integrità 2021” ovvero nelle lettere commerciali/ordini per gli affidamenti che sono stipulati.</w:t>
      </w:r>
    </w:p>
    <w:p w:rsidR="00E72819" w:rsidRPr="006D482A" w:rsidRDefault="00E72819" w:rsidP="00E10FCB">
      <w:r w:rsidRPr="00E10FCB">
        <w:t>A tali fini, si utilizza l’apposito modello “5. Patto di integrità Segrate Servizi”.</w:t>
      </w:r>
    </w:p>
    <w:p w:rsidR="004B223A" w:rsidRPr="00B67FEC" w:rsidRDefault="004B223A" w:rsidP="0049154B">
      <w:pPr>
        <w:rPr>
          <w:rFonts w:cs="Calibri"/>
        </w:rPr>
      </w:pPr>
      <w:r w:rsidRPr="00B67FEC">
        <w:rPr>
          <w:rFonts w:cs="Calibri"/>
        </w:rPr>
        <w:t>Nel corso del 20</w:t>
      </w:r>
      <w:r w:rsidR="00675334" w:rsidRPr="00B67FEC">
        <w:rPr>
          <w:rFonts w:cs="Calibri"/>
        </w:rPr>
        <w:t>2</w:t>
      </w:r>
      <w:r w:rsidR="00737034">
        <w:rPr>
          <w:rFonts w:cs="Calibri"/>
        </w:rPr>
        <w:t>1</w:t>
      </w:r>
      <w:r w:rsidRPr="00B67FEC">
        <w:rPr>
          <w:rFonts w:cs="Calibri"/>
        </w:rPr>
        <w:t xml:space="preserve"> </w:t>
      </w:r>
      <w:r w:rsidR="00E72819">
        <w:rPr>
          <w:rFonts w:cs="Calibri"/>
        </w:rPr>
        <w:t>l’Amministratore Unico</w:t>
      </w:r>
      <w:r w:rsidRPr="00B67FEC">
        <w:rPr>
          <w:rFonts w:cs="Calibri"/>
        </w:rPr>
        <w:t xml:space="preserve"> de</w:t>
      </w:r>
      <w:r w:rsidR="00115A0D" w:rsidRPr="00B67FEC">
        <w:rPr>
          <w:rFonts w:cs="Calibri"/>
        </w:rPr>
        <w:t>l</w:t>
      </w:r>
      <w:r w:rsidRPr="00B67FEC">
        <w:rPr>
          <w:rFonts w:cs="Calibri"/>
        </w:rPr>
        <w:t xml:space="preserve"> </w:t>
      </w:r>
      <w:r w:rsidR="00115A0D" w:rsidRPr="00B67FEC">
        <w:rPr>
          <w:rFonts w:cs="Calibri"/>
        </w:rPr>
        <w:t>P</w:t>
      </w:r>
      <w:r w:rsidRPr="00B67FEC">
        <w:rPr>
          <w:rFonts w:cs="Calibri"/>
        </w:rPr>
        <w:t>att</w:t>
      </w:r>
      <w:r w:rsidR="00115A0D" w:rsidRPr="00B67FEC">
        <w:rPr>
          <w:rFonts w:cs="Calibri"/>
        </w:rPr>
        <w:t>o</w:t>
      </w:r>
      <w:r w:rsidRPr="00B67FEC">
        <w:rPr>
          <w:rFonts w:cs="Calibri"/>
        </w:rPr>
        <w:t xml:space="preserve"> </w:t>
      </w:r>
      <w:r w:rsidR="00115A0D" w:rsidRPr="00B67FEC">
        <w:rPr>
          <w:rFonts w:cs="Calibri"/>
        </w:rPr>
        <w:t xml:space="preserve">di </w:t>
      </w:r>
      <w:r w:rsidRPr="00B67FEC">
        <w:rPr>
          <w:rFonts w:cs="Calibri"/>
        </w:rPr>
        <w:t xml:space="preserve">integrità </w:t>
      </w:r>
      <w:r w:rsidR="00115A0D" w:rsidRPr="00B67FEC">
        <w:rPr>
          <w:rFonts w:cs="Calibri"/>
        </w:rPr>
        <w:t xml:space="preserve">(eventualmente </w:t>
      </w:r>
      <w:r w:rsidR="00E72819">
        <w:rPr>
          <w:rFonts w:cs="Calibri"/>
        </w:rPr>
        <w:t>integrandolo con q</w:t>
      </w:r>
      <w:r w:rsidR="00115A0D" w:rsidRPr="00B67FEC">
        <w:rPr>
          <w:rFonts w:cs="Calibri"/>
        </w:rPr>
        <w:t xml:space="preserve">uello del comune di </w:t>
      </w:r>
      <w:r w:rsidR="00655019" w:rsidRPr="00B67FEC">
        <w:rPr>
          <w:rFonts w:cs="Calibri"/>
        </w:rPr>
        <w:t>Segrate</w:t>
      </w:r>
      <w:r w:rsidR="00115A0D" w:rsidRPr="00B67FEC">
        <w:rPr>
          <w:rFonts w:cs="Calibri"/>
        </w:rPr>
        <w:t xml:space="preserve">) </w:t>
      </w:r>
      <w:r w:rsidRPr="00B67FEC">
        <w:rPr>
          <w:rFonts w:cs="Calibri"/>
        </w:rPr>
        <w:t xml:space="preserve">e, successivamente, inserire negli avvisi, bandi di gara o lettere di invito delle future </w:t>
      </w:r>
      <w:r w:rsidRPr="00B67FEC">
        <w:rPr>
          <w:rFonts w:cs="Calibri"/>
          <w:b/>
        </w:rPr>
        <w:t>procedure di gara</w:t>
      </w:r>
      <w:r w:rsidRPr="00B67FEC">
        <w:rPr>
          <w:rFonts w:cs="Calibri"/>
        </w:rPr>
        <w:t xml:space="preserve"> che verranno bandite </w:t>
      </w:r>
      <w:r w:rsidR="00675334" w:rsidRPr="00B67FEC">
        <w:rPr>
          <w:rFonts w:cs="Calibri"/>
        </w:rPr>
        <w:t>dal</w:t>
      </w:r>
      <w:r w:rsidR="00F902C5" w:rsidRPr="00B67FEC">
        <w:rPr>
          <w:rFonts w:cs="Calibri"/>
        </w:rPr>
        <w:t>la Società</w:t>
      </w:r>
      <w:r w:rsidR="00737034">
        <w:rPr>
          <w:rFonts w:cs="Calibri"/>
        </w:rPr>
        <w:t>, di importo superiore a 40.000 €</w:t>
      </w:r>
      <w:r w:rsidRPr="00B67FEC">
        <w:rPr>
          <w:rFonts w:cs="Calibri"/>
        </w:rPr>
        <w:t>.</w:t>
      </w:r>
    </w:p>
    <w:p w:rsidR="00675334" w:rsidRPr="00B67FEC" w:rsidRDefault="00675334" w:rsidP="0049154B">
      <w:pPr>
        <w:rPr>
          <w:rFonts w:cs="Calibri"/>
        </w:rPr>
      </w:pPr>
      <w:r w:rsidRPr="00B67FEC">
        <w:rPr>
          <w:rFonts w:cs="Calibri"/>
        </w:rPr>
        <w:t xml:space="preserve">Nel </w:t>
      </w:r>
      <w:r w:rsidR="00115A0D" w:rsidRPr="00B67FEC">
        <w:rPr>
          <w:rFonts w:cs="Calibri"/>
        </w:rPr>
        <w:t>corso delle prossime annualità</w:t>
      </w:r>
      <w:r w:rsidRPr="00B67FEC">
        <w:rPr>
          <w:rFonts w:cs="Calibri"/>
        </w:rPr>
        <w:t xml:space="preserve"> si effettuerà un attento monitoraggio sull’effettiva applicazione della misura, anche al fine delle successive valutazioni da operare sulle azioni da intraprendere per</w:t>
      </w:r>
      <w:r w:rsidR="00115A0D" w:rsidRPr="00B67FEC">
        <w:rPr>
          <w:rFonts w:cs="Calibri"/>
        </w:rPr>
        <w:t xml:space="preserve"> ridurre il rischio nell’area “C</w:t>
      </w:r>
      <w:r w:rsidRPr="00B67FEC">
        <w:rPr>
          <w:rFonts w:cs="Calibri"/>
        </w:rPr>
        <w:t>ontratti pubblici”.</w:t>
      </w:r>
    </w:p>
    <w:p w:rsidR="00E72819" w:rsidRDefault="00E72819" w:rsidP="0049154B">
      <w:pPr>
        <w:rPr>
          <w:rFonts w:cs="Calibri"/>
          <w:b/>
        </w:rPr>
      </w:pPr>
    </w:p>
    <w:p w:rsidR="00675334" w:rsidRPr="00B67FEC" w:rsidRDefault="00675334" w:rsidP="0049154B">
      <w:pPr>
        <w:rPr>
          <w:rFonts w:cs="Calibri"/>
          <w:b/>
        </w:rPr>
      </w:pPr>
      <w:r w:rsidRPr="00B67FEC">
        <w:rPr>
          <w:rFonts w:cs="Calibri"/>
          <w:b/>
        </w:rPr>
        <w:t>Modalità della programmazione della misura: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62"/>
      </w:tblGrid>
      <w:tr w:rsidR="00675334" w:rsidRPr="00B67FEC" w:rsidTr="00E50E41">
        <w:tc>
          <w:tcPr>
            <w:tcW w:w="2518" w:type="dxa"/>
            <w:shd w:val="clear" w:color="auto" w:fill="auto"/>
          </w:tcPr>
          <w:p w:rsidR="00675334" w:rsidRPr="005F4F34" w:rsidRDefault="00675334" w:rsidP="00E50E41">
            <w:pPr>
              <w:spacing w:line="276" w:lineRule="auto"/>
              <w:jc w:val="left"/>
              <w:rPr>
                <w:rFonts w:cs="Calibri"/>
                <w:b/>
              </w:rPr>
            </w:pPr>
            <w:r w:rsidRPr="005F4F34">
              <w:rPr>
                <w:rFonts w:cs="Calibri"/>
                <w:b/>
              </w:rPr>
              <w:t>Fasi/attività per la sua attuazione</w:t>
            </w:r>
          </w:p>
        </w:tc>
        <w:tc>
          <w:tcPr>
            <w:tcW w:w="7562" w:type="dxa"/>
            <w:shd w:val="clear" w:color="auto" w:fill="auto"/>
          </w:tcPr>
          <w:p w:rsidR="00E56A46" w:rsidRPr="005F4F34" w:rsidRDefault="00E56A46" w:rsidP="00E56A46">
            <w:pPr>
              <w:spacing w:line="240" w:lineRule="auto"/>
            </w:pPr>
            <w:r w:rsidRPr="005F4F34">
              <w:t>Per il 2021, si attuerà la misura come sopra descritta, perseguendo i seguenti traguardi:</w:t>
            </w:r>
          </w:p>
          <w:p w:rsidR="00E56A46" w:rsidRPr="005F4F34" w:rsidRDefault="00E56A46" w:rsidP="00E56A46">
            <w:pPr>
              <w:spacing w:line="240" w:lineRule="auto"/>
              <w:rPr>
                <w:b/>
              </w:rPr>
            </w:pPr>
            <w:r w:rsidRPr="005F4F34">
              <w:rPr>
                <w:b/>
              </w:rPr>
              <w:t xml:space="preserve">Applicazione del Patto ai bandi di gara e affidamenti diretti di importo superiore a 40.000,00 </w:t>
            </w:r>
          </w:p>
          <w:p w:rsidR="00E56A46" w:rsidRPr="005F4F34" w:rsidRDefault="00E56A46" w:rsidP="00E56A46">
            <w:pPr>
              <w:spacing w:line="240" w:lineRule="auto"/>
            </w:pPr>
            <w:r w:rsidRPr="005F4F34">
              <w:t xml:space="preserve">100% </w:t>
            </w:r>
          </w:p>
          <w:p w:rsidR="00E56A46" w:rsidRPr="005F4F34" w:rsidRDefault="00E56A46" w:rsidP="00E56A46">
            <w:pPr>
              <w:spacing w:line="240" w:lineRule="auto"/>
              <w:rPr>
                <w:b/>
              </w:rPr>
            </w:pPr>
            <w:r w:rsidRPr="005F4F34">
              <w:rPr>
                <w:b/>
              </w:rPr>
              <w:t xml:space="preserve">Bandi di gara privi del Patto Integrità </w:t>
            </w:r>
          </w:p>
          <w:p w:rsidR="00675334" w:rsidRPr="00B67FEC" w:rsidRDefault="00E56A46" w:rsidP="00E56A46">
            <w:pPr>
              <w:spacing w:line="276" w:lineRule="auto"/>
              <w:rPr>
                <w:rFonts w:cs="Calibri"/>
                <w:b/>
              </w:rPr>
            </w:pPr>
            <w:r w:rsidRPr="005F4F34">
              <w:t>0%</w:t>
            </w:r>
          </w:p>
        </w:tc>
      </w:tr>
      <w:tr w:rsidR="00675334" w:rsidRPr="00B67FEC" w:rsidTr="00E50E41">
        <w:tc>
          <w:tcPr>
            <w:tcW w:w="2518" w:type="dxa"/>
            <w:shd w:val="clear" w:color="auto" w:fill="auto"/>
          </w:tcPr>
          <w:p w:rsidR="00675334" w:rsidRPr="00B67FEC" w:rsidRDefault="00675334" w:rsidP="00E50E41">
            <w:pPr>
              <w:spacing w:line="276" w:lineRule="auto"/>
              <w:jc w:val="left"/>
              <w:rPr>
                <w:rFonts w:cs="Calibri"/>
                <w:b/>
              </w:rPr>
            </w:pPr>
            <w:r w:rsidRPr="00B67FEC">
              <w:rPr>
                <w:rFonts w:cs="Calibri"/>
                <w:b/>
              </w:rPr>
              <w:t>Tempi di attuazione</w:t>
            </w:r>
          </w:p>
        </w:tc>
        <w:tc>
          <w:tcPr>
            <w:tcW w:w="7562" w:type="dxa"/>
            <w:shd w:val="clear" w:color="auto" w:fill="auto"/>
          </w:tcPr>
          <w:p w:rsidR="00675334" w:rsidRPr="00E56A46" w:rsidRDefault="00675334" w:rsidP="00E50E41">
            <w:pPr>
              <w:spacing w:line="276" w:lineRule="auto"/>
              <w:rPr>
                <w:rFonts w:cs="Calibri"/>
                <w:bCs/>
              </w:rPr>
            </w:pPr>
            <w:r w:rsidRPr="00E56A46">
              <w:rPr>
                <w:rFonts w:cs="Calibri"/>
                <w:bCs/>
              </w:rPr>
              <w:t>Costante nel tempo</w:t>
            </w:r>
          </w:p>
        </w:tc>
      </w:tr>
      <w:tr w:rsidR="00675334" w:rsidRPr="00B67FEC" w:rsidTr="00E50E41">
        <w:tc>
          <w:tcPr>
            <w:tcW w:w="2518" w:type="dxa"/>
            <w:shd w:val="clear" w:color="auto" w:fill="auto"/>
          </w:tcPr>
          <w:p w:rsidR="00675334" w:rsidRPr="00B67FEC" w:rsidRDefault="00675334" w:rsidP="00E50E41">
            <w:pPr>
              <w:spacing w:line="276" w:lineRule="auto"/>
              <w:jc w:val="left"/>
              <w:rPr>
                <w:rFonts w:cs="Calibri"/>
                <w:b/>
              </w:rPr>
            </w:pPr>
            <w:r w:rsidRPr="00B67FEC">
              <w:rPr>
                <w:rFonts w:cs="Calibri"/>
                <w:b/>
              </w:rPr>
              <w:t>Responsabili della sua attuazione</w:t>
            </w:r>
          </w:p>
        </w:tc>
        <w:tc>
          <w:tcPr>
            <w:tcW w:w="7562" w:type="dxa"/>
            <w:shd w:val="clear" w:color="auto" w:fill="auto"/>
          </w:tcPr>
          <w:p w:rsidR="00675334" w:rsidRPr="00E56A46" w:rsidRDefault="007E21E7" w:rsidP="00E50E41">
            <w:pPr>
              <w:spacing w:line="276" w:lineRule="auto"/>
              <w:rPr>
                <w:rFonts w:cs="Calibri"/>
                <w:bCs/>
              </w:rPr>
            </w:pPr>
            <w:r w:rsidRPr="00E56A46">
              <w:rPr>
                <w:rFonts w:cs="Calibri"/>
                <w:bCs/>
              </w:rPr>
              <w:t>Direttore</w:t>
            </w:r>
            <w:r w:rsidR="00D674EA" w:rsidRPr="00E56A46">
              <w:rPr>
                <w:rFonts w:cs="Calibri"/>
                <w:bCs/>
              </w:rPr>
              <w:t>/RPC</w:t>
            </w:r>
            <w:r w:rsidR="00E50E41" w:rsidRPr="00E56A46">
              <w:rPr>
                <w:rFonts w:cs="Calibri"/>
                <w:bCs/>
              </w:rPr>
              <w:t xml:space="preserve">: </w:t>
            </w:r>
            <w:r w:rsidR="00675334" w:rsidRPr="00E56A46">
              <w:rPr>
                <w:rFonts w:cs="Calibri"/>
                <w:bCs/>
              </w:rPr>
              <w:t>redazione</w:t>
            </w:r>
            <w:r w:rsidR="00E50E41" w:rsidRPr="00E56A46">
              <w:rPr>
                <w:rFonts w:cs="Calibri"/>
                <w:bCs/>
              </w:rPr>
              <w:t xml:space="preserve">, </w:t>
            </w:r>
            <w:r w:rsidR="00115A0D" w:rsidRPr="00E56A46">
              <w:rPr>
                <w:rFonts w:cs="Calibri"/>
                <w:bCs/>
              </w:rPr>
              <w:t xml:space="preserve">verifica e </w:t>
            </w:r>
            <w:r w:rsidR="00E56A46">
              <w:rPr>
                <w:rFonts w:cs="Calibri"/>
                <w:bCs/>
              </w:rPr>
              <w:t>emissione</w:t>
            </w:r>
          </w:p>
          <w:p w:rsidR="00675334" w:rsidRPr="00E56A46" w:rsidRDefault="00655019" w:rsidP="00E50E41">
            <w:pPr>
              <w:spacing w:line="276" w:lineRule="auto"/>
              <w:rPr>
                <w:rFonts w:cs="Calibri"/>
                <w:bCs/>
              </w:rPr>
            </w:pPr>
            <w:r w:rsidRPr="00E56A46">
              <w:rPr>
                <w:rFonts w:cs="Calibri"/>
                <w:bCs/>
              </w:rPr>
              <w:t>AU</w:t>
            </w:r>
            <w:r w:rsidR="00E50E41" w:rsidRPr="00E56A46">
              <w:rPr>
                <w:rFonts w:cs="Calibri"/>
                <w:bCs/>
              </w:rPr>
              <w:t xml:space="preserve">: approvazione </w:t>
            </w:r>
            <w:r w:rsidR="00FA3F20" w:rsidRPr="00E56A46">
              <w:rPr>
                <w:rFonts w:cs="Calibri"/>
                <w:bCs/>
              </w:rPr>
              <w:t>entro 30/6/202</w:t>
            </w:r>
            <w:r w:rsidR="00E56A46">
              <w:rPr>
                <w:rFonts w:cs="Calibri"/>
                <w:bCs/>
              </w:rPr>
              <w:t>1</w:t>
            </w:r>
          </w:p>
          <w:p w:rsidR="00675334" w:rsidRPr="00E56A46" w:rsidRDefault="00675334" w:rsidP="00D674EA">
            <w:pPr>
              <w:spacing w:line="276" w:lineRule="auto"/>
              <w:rPr>
                <w:rFonts w:cs="Calibri"/>
                <w:bCs/>
              </w:rPr>
            </w:pPr>
            <w:r w:rsidRPr="00E56A46">
              <w:rPr>
                <w:rFonts w:cs="Calibri"/>
                <w:bCs/>
              </w:rPr>
              <w:t xml:space="preserve">Successivamente, </w:t>
            </w:r>
            <w:r w:rsidR="00D674EA" w:rsidRPr="00E56A46">
              <w:rPr>
                <w:rFonts w:cs="Calibri"/>
                <w:bCs/>
              </w:rPr>
              <w:t>Servizio Amministrativo</w:t>
            </w:r>
            <w:r w:rsidR="00C1732C" w:rsidRPr="00E56A46">
              <w:rPr>
                <w:rFonts w:cs="Calibri"/>
                <w:bCs/>
              </w:rPr>
              <w:t xml:space="preserve"> </w:t>
            </w:r>
            <w:r w:rsidRPr="00E56A46">
              <w:rPr>
                <w:rFonts w:cs="Calibri"/>
                <w:bCs/>
              </w:rPr>
              <w:t>per attivazione della misura</w:t>
            </w:r>
          </w:p>
        </w:tc>
      </w:tr>
      <w:tr w:rsidR="00675334" w:rsidRPr="00B67FEC" w:rsidTr="00E50E41">
        <w:tc>
          <w:tcPr>
            <w:tcW w:w="2518" w:type="dxa"/>
            <w:shd w:val="clear" w:color="auto" w:fill="auto"/>
          </w:tcPr>
          <w:p w:rsidR="00675334" w:rsidRPr="00B67FEC" w:rsidRDefault="00675334" w:rsidP="00E50E41">
            <w:pPr>
              <w:spacing w:line="276" w:lineRule="auto"/>
              <w:jc w:val="left"/>
              <w:rPr>
                <w:rFonts w:cs="Calibri"/>
                <w:b/>
              </w:rPr>
            </w:pPr>
            <w:r w:rsidRPr="00B67FEC">
              <w:rPr>
                <w:rFonts w:cs="Calibri"/>
                <w:b/>
              </w:rPr>
              <w:t>Indicatori di monitoraggio</w:t>
            </w:r>
          </w:p>
        </w:tc>
        <w:tc>
          <w:tcPr>
            <w:tcW w:w="7562" w:type="dxa"/>
            <w:shd w:val="clear" w:color="auto" w:fill="auto"/>
          </w:tcPr>
          <w:p w:rsidR="00675334" w:rsidRPr="00E56A46" w:rsidRDefault="00675334" w:rsidP="00E50E41">
            <w:pPr>
              <w:spacing w:line="276" w:lineRule="auto"/>
              <w:rPr>
                <w:rFonts w:cs="Calibri"/>
                <w:bCs/>
              </w:rPr>
            </w:pPr>
            <w:r w:rsidRPr="00E56A46">
              <w:rPr>
                <w:rFonts w:cs="Calibri"/>
                <w:bCs/>
              </w:rPr>
              <w:t>Rispetto tempi realizzazione misura: 100%</w:t>
            </w:r>
          </w:p>
          <w:p w:rsidR="00675334" w:rsidRPr="00E56A46" w:rsidRDefault="00675334" w:rsidP="00655019">
            <w:pPr>
              <w:spacing w:line="276" w:lineRule="auto"/>
              <w:rPr>
                <w:rFonts w:cs="Calibri"/>
                <w:bCs/>
              </w:rPr>
            </w:pPr>
            <w:r w:rsidRPr="00E56A46">
              <w:rPr>
                <w:rFonts w:cs="Calibri"/>
                <w:bCs/>
              </w:rPr>
              <w:t>Bandi privi del Patto Integrità dopo la relativa approvazione del</w:t>
            </w:r>
            <w:r w:rsidR="00655019" w:rsidRPr="00E56A46">
              <w:rPr>
                <w:rFonts w:cs="Calibri"/>
                <w:bCs/>
              </w:rPr>
              <w:t>l’AU</w:t>
            </w:r>
            <w:r w:rsidRPr="00E56A46">
              <w:rPr>
                <w:rFonts w:cs="Calibri"/>
                <w:bCs/>
              </w:rPr>
              <w:t>: 0%</w:t>
            </w:r>
          </w:p>
        </w:tc>
      </w:tr>
      <w:tr w:rsidR="00E50E41" w:rsidRPr="00B67FEC" w:rsidTr="00E50E41">
        <w:tc>
          <w:tcPr>
            <w:tcW w:w="2518" w:type="dxa"/>
            <w:shd w:val="clear" w:color="auto" w:fill="auto"/>
          </w:tcPr>
          <w:p w:rsidR="00E50E41" w:rsidRPr="00B67FEC" w:rsidRDefault="00E50E41" w:rsidP="00E50E41">
            <w:pPr>
              <w:spacing w:line="276" w:lineRule="auto"/>
              <w:jc w:val="left"/>
              <w:rPr>
                <w:rFonts w:cs="Calibri"/>
                <w:b/>
              </w:rPr>
            </w:pPr>
            <w:r w:rsidRPr="00B67FEC">
              <w:rPr>
                <w:rFonts w:cs="Calibri"/>
                <w:b/>
              </w:rPr>
              <w:t>Attuazione della misura</w:t>
            </w:r>
          </w:p>
        </w:tc>
        <w:tc>
          <w:tcPr>
            <w:tcW w:w="7562" w:type="dxa"/>
            <w:shd w:val="clear" w:color="auto" w:fill="auto"/>
          </w:tcPr>
          <w:p w:rsidR="00E50E41" w:rsidRPr="00E56A46" w:rsidRDefault="005F4F34" w:rsidP="00E50E41">
            <w:pPr>
              <w:spacing w:line="276" w:lineRule="auto"/>
              <w:rPr>
                <w:rFonts w:cs="Calibri"/>
                <w:bCs/>
              </w:rPr>
            </w:pPr>
            <w:r>
              <w:rPr>
                <w:rFonts w:cs="Calibri"/>
                <w:bCs/>
              </w:rPr>
              <w:t>2021: 100%</w:t>
            </w:r>
          </w:p>
        </w:tc>
      </w:tr>
    </w:tbl>
    <w:p w:rsidR="0089411D" w:rsidRDefault="0089411D">
      <w:pPr>
        <w:spacing w:line="240" w:lineRule="auto"/>
        <w:jc w:val="left"/>
        <w:rPr>
          <w:rFonts w:cs="Calibri"/>
          <w:b/>
          <w:bCs/>
          <w:i/>
          <w:iCs/>
          <w:sz w:val="24"/>
          <w:szCs w:val="28"/>
        </w:rPr>
      </w:pPr>
      <w:bookmarkStart w:id="211" w:name="_Toc28966910"/>
      <w:bookmarkStart w:id="212" w:name="_Toc28967130"/>
      <w:bookmarkStart w:id="213" w:name="_Toc28967383"/>
      <w:bookmarkEnd w:id="205"/>
      <w:bookmarkEnd w:id="206"/>
      <w:r>
        <w:rPr>
          <w:rFonts w:cs="Calibri"/>
        </w:rPr>
        <w:br w:type="page"/>
      </w:r>
    </w:p>
    <w:p w:rsidR="00675334" w:rsidRPr="00B67FEC" w:rsidRDefault="00675334" w:rsidP="00B264D6">
      <w:pPr>
        <w:pStyle w:val="Titolo2"/>
        <w:rPr>
          <w:rFonts w:cs="Calibri"/>
        </w:rPr>
      </w:pPr>
      <w:bookmarkStart w:id="214" w:name="_Toc101602045"/>
      <w:r w:rsidRPr="00B67FEC">
        <w:rPr>
          <w:rFonts w:cs="Calibri"/>
        </w:rPr>
        <w:lastRenderedPageBreak/>
        <w:t>L. TRATTAMENTO DEL RISCHIO: PREVISIONE DELLE MISURE</w:t>
      </w:r>
      <w:r w:rsidR="00B264D6" w:rsidRPr="00B67FEC">
        <w:rPr>
          <w:rFonts w:cs="Calibri"/>
        </w:rPr>
        <w:t xml:space="preserve"> </w:t>
      </w:r>
      <w:r w:rsidRPr="00B67FEC">
        <w:rPr>
          <w:rFonts w:cs="Calibri"/>
        </w:rPr>
        <w:t>SPECIFICHE</w:t>
      </w:r>
      <w:bookmarkEnd w:id="211"/>
      <w:bookmarkEnd w:id="212"/>
      <w:bookmarkEnd w:id="213"/>
      <w:bookmarkEnd w:id="214"/>
    </w:p>
    <w:p w:rsidR="00675334" w:rsidRPr="00B67FEC" w:rsidRDefault="00675334" w:rsidP="0049154B">
      <w:pPr>
        <w:rPr>
          <w:rFonts w:cs="Calibri"/>
        </w:rPr>
      </w:pPr>
      <w:r w:rsidRPr="00B67FEC">
        <w:rPr>
          <w:rFonts w:cs="Calibri"/>
        </w:rPr>
        <w:t>Nell’allegato “</w:t>
      </w:r>
      <w:r w:rsidR="00B61F65">
        <w:rPr>
          <w:rFonts w:cs="Calibri"/>
        </w:rPr>
        <w:t>Piano dei Rischi 2022</w:t>
      </w:r>
      <w:r w:rsidRPr="00B67FEC">
        <w:rPr>
          <w:rFonts w:cs="Calibri"/>
        </w:rPr>
        <w:t xml:space="preserve">”, in attuazione del PNA 2019 e dello schema di caricamento e monitoraggio </w:t>
      </w:r>
      <w:proofErr w:type="spellStart"/>
      <w:r w:rsidRPr="00B67FEC">
        <w:rPr>
          <w:rFonts w:cs="Calibri"/>
        </w:rPr>
        <w:t>PTPC</w:t>
      </w:r>
      <w:r w:rsidR="00F54AE7" w:rsidRPr="00B67FEC">
        <w:rPr>
          <w:rFonts w:cs="Calibri"/>
        </w:rPr>
        <w:t>eT</w:t>
      </w:r>
      <w:proofErr w:type="spellEnd"/>
      <w:r w:rsidRPr="00B67FEC">
        <w:rPr>
          <w:rFonts w:cs="Calibri"/>
        </w:rPr>
        <w:t xml:space="preserve"> predisposto da ANAC, </w:t>
      </w:r>
      <w:r w:rsidR="00EC0950">
        <w:rPr>
          <w:rFonts w:cs="Calibri"/>
        </w:rPr>
        <w:t>Segrate Servizi Srl</w:t>
      </w:r>
      <w:r w:rsidRPr="00B67FEC">
        <w:rPr>
          <w:rFonts w:cs="Calibri"/>
        </w:rPr>
        <w:t xml:space="preserve"> ha individuato ed elencato misure specifiche afferenti alle seguenti categorie: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1467"/>
      </w:tblGrid>
      <w:tr w:rsidR="00675334" w:rsidRPr="00B67FEC" w:rsidTr="00BC3905">
        <w:tc>
          <w:tcPr>
            <w:tcW w:w="8613" w:type="dxa"/>
            <w:shd w:val="clear" w:color="auto" w:fill="auto"/>
          </w:tcPr>
          <w:p w:rsidR="00675334" w:rsidRPr="00B67FEC" w:rsidRDefault="00675334" w:rsidP="0049154B">
            <w:pPr>
              <w:rPr>
                <w:rFonts w:cs="Calibri"/>
              </w:rPr>
            </w:pPr>
            <w:r w:rsidRPr="00B67FEC">
              <w:rPr>
                <w:rFonts w:cs="Calibri"/>
              </w:rPr>
              <w:t>Categoria</w:t>
            </w:r>
          </w:p>
        </w:tc>
        <w:tc>
          <w:tcPr>
            <w:tcW w:w="1467" w:type="dxa"/>
            <w:shd w:val="clear" w:color="auto" w:fill="auto"/>
          </w:tcPr>
          <w:p w:rsidR="00675334" w:rsidRPr="00B67FEC" w:rsidRDefault="00675334" w:rsidP="0049154B">
            <w:pPr>
              <w:rPr>
                <w:rFonts w:cs="Calibri"/>
              </w:rPr>
            </w:pPr>
            <w:r w:rsidRPr="00B67FEC">
              <w:rPr>
                <w:rFonts w:cs="Calibri"/>
              </w:rPr>
              <w:t>N. misure</w:t>
            </w:r>
          </w:p>
        </w:tc>
      </w:tr>
      <w:tr w:rsidR="00675334" w:rsidRPr="00B67FEC" w:rsidTr="00EA2257">
        <w:tc>
          <w:tcPr>
            <w:tcW w:w="8613" w:type="dxa"/>
            <w:shd w:val="clear" w:color="auto" w:fill="auto"/>
          </w:tcPr>
          <w:p w:rsidR="00675334" w:rsidRPr="00B67FEC" w:rsidRDefault="00675334" w:rsidP="0049154B">
            <w:pPr>
              <w:rPr>
                <w:rFonts w:cs="Calibri"/>
              </w:rPr>
            </w:pPr>
            <w:r w:rsidRPr="00B67FEC">
              <w:rPr>
                <w:rFonts w:cs="Calibri"/>
              </w:rPr>
              <w:t>Misure di controllo</w:t>
            </w:r>
          </w:p>
        </w:tc>
        <w:tc>
          <w:tcPr>
            <w:tcW w:w="1467" w:type="dxa"/>
            <w:shd w:val="clear" w:color="auto" w:fill="auto"/>
          </w:tcPr>
          <w:p w:rsidR="00675334" w:rsidRPr="005F4F34" w:rsidRDefault="00EA2257" w:rsidP="00A762FE">
            <w:pPr>
              <w:jc w:val="center"/>
              <w:rPr>
                <w:rFonts w:cs="Calibri"/>
              </w:rPr>
            </w:pPr>
            <w:r w:rsidRPr="005F4F34">
              <w:rPr>
                <w:rFonts w:cs="Calibri"/>
              </w:rPr>
              <w:t>4</w:t>
            </w:r>
          </w:p>
        </w:tc>
      </w:tr>
      <w:tr w:rsidR="00A762FE" w:rsidRPr="00B67FEC" w:rsidTr="00EA2257">
        <w:tc>
          <w:tcPr>
            <w:tcW w:w="8613" w:type="dxa"/>
            <w:shd w:val="clear" w:color="auto" w:fill="auto"/>
          </w:tcPr>
          <w:p w:rsidR="00A762FE" w:rsidRPr="00B67FEC" w:rsidRDefault="00A762FE" w:rsidP="00A762FE">
            <w:pPr>
              <w:rPr>
                <w:rFonts w:cs="Calibri"/>
              </w:rPr>
            </w:pPr>
            <w:r w:rsidRPr="00B67FEC">
              <w:rPr>
                <w:rFonts w:cs="Calibri"/>
              </w:rPr>
              <w:t>Misure di trasparenza</w:t>
            </w:r>
          </w:p>
        </w:tc>
        <w:tc>
          <w:tcPr>
            <w:tcW w:w="1467" w:type="dxa"/>
            <w:shd w:val="clear" w:color="auto" w:fill="auto"/>
          </w:tcPr>
          <w:p w:rsidR="00A762FE" w:rsidRPr="005F4F34" w:rsidRDefault="00EA2257" w:rsidP="00A762FE">
            <w:pPr>
              <w:jc w:val="center"/>
              <w:rPr>
                <w:rFonts w:cs="Calibri"/>
              </w:rPr>
            </w:pPr>
            <w:r w:rsidRPr="005F4F34">
              <w:rPr>
                <w:rFonts w:cs="Calibri"/>
              </w:rPr>
              <w:t>3</w:t>
            </w:r>
          </w:p>
        </w:tc>
      </w:tr>
      <w:tr w:rsidR="00A762FE" w:rsidRPr="00B67FEC" w:rsidTr="00EA2257">
        <w:tc>
          <w:tcPr>
            <w:tcW w:w="8613" w:type="dxa"/>
            <w:shd w:val="clear" w:color="auto" w:fill="auto"/>
          </w:tcPr>
          <w:p w:rsidR="00A762FE" w:rsidRPr="00B67FEC" w:rsidRDefault="00A762FE" w:rsidP="00A762FE">
            <w:pPr>
              <w:rPr>
                <w:rFonts w:cs="Calibri"/>
              </w:rPr>
            </w:pPr>
            <w:r w:rsidRPr="00B67FEC">
              <w:rPr>
                <w:rFonts w:cs="Calibri"/>
              </w:rPr>
              <w:t>Misure di definizione e promozione dell'etica e di standard di comportamento</w:t>
            </w:r>
          </w:p>
        </w:tc>
        <w:tc>
          <w:tcPr>
            <w:tcW w:w="1467" w:type="dxa"/>
            <w:shd w:val="clear" w:color="auto" w:fill="auto"/>
          </w:tcPr>
          <w:p w:rsidR="00A762FE" w:rsidRPr="005F4F34" w:rsidRDefault="00CB10C7" w:rsidP="00A762FE">
            <w:pPr>
              <w:jc w:val="center"/>
              <w:rPr>
                <w:rFonts w:cs="Calibri"/>
              </w:rPr>
            </w:pPr>
            <w:r w:rsidRPr="005F4F34">
              <w:rPr>
                <w:rFonts w:cs="Calibri"/>
              </w:rPr>
              <w:t>1</w:t>
            </w:r>
          </w:p>
        </w:tc>
      </w:tr>
      <w:tr w:rsidR="00A762FE" w:rsidRPr="00B67FEC" w:rsidTr="00EA2257">
        <w:tc>
          <w:tcPr>
            <w:tcW w:w="8613" w:type="dxa"/>
            <w:shd w:val="clear" w:color="auto" w:fill="auto"/>
          </w:tcPr>
          <w:p w:rsidR="00A762FE" w:rsidRPr="00B67FEC" w:rsidRDefault="00A762FE" w:rsidP="00A762FE">
            <w:pPr>
              <w:rPr>
                <w:rFonts w:cs="Calibri"/>
              </w:rPr>
            </w:pPr>
            <w:r w:rsidRPr="00B67FEC">
              <w:rPr>
                <w:rFonts w:cs="Calibri"/>
              </w:rPr>
              <w:t>Misure di regolamentazione</w:t>
            </w:r>
          </w:p>
        </w:tc>
        <w:tc>
          <w:tcPr>
            <w:tcW w:w="1467" w:type="dxa"/>
            <w:shd w:val="clear" w:color="auto" w:fill="auto"/>
          </w:tcPr>
          <w:p w:rsidR="00A762FE" w:rsidRPr="005F4F34" w:rsidRDefault="00EA2257" w:rsidP="00A762FE">
            <w:pPr>
              <w:jc w:val="center"/>
              <w:rPr>
                <w:rFonts w:cs="Calibri"/>
              </w:rPr>
            </w:pPr>
            <w:r w:rsidRPr="005F4F34">
              <w:rPr>
                <w:rFonts w:cs="Calibri"/>
              </w:rPr>
              <w:t>25</w:t>
            </w:r>
          </w:p>
        </w:tc>
      </w:tr>
      <w:tr w:rsidR="00A762FE" w:rsidRPr="00B67FEC" w:rsidTr="00EA2257">
        <w:tc>
          <w:tcPr>
            <w:tcW w:w="8613" w:type="dxa"/>
            <w:shd w:val="clear" w:color="auto" w:fill="auto"/>
          </w:tcPr>
          <w:p w:rsidR="00A762FE" w:rsidRPr="00B67FEC" w:rsidRDefault="00A762FE" w:rsidP="00A762FE">
            <w:pPr>
              <w:rPr>
                <w:rFonts w:cs="Calibri"/>
              </w:rPr>
            </w:pPr>
            <w:r w:rsidRPr="00B67FEC">
              <w:rPr>
                <w:rFonts w:cs="Calibri"/>
              </w:rPr>
              <w:t>Misure di semplificazione</w:t>
            </w:r>
          </w:p>
        </w:tc>
        <w:tc>
          <w:tcPr>
            <w:tcW w:w="1467" w:type="dxa"/>
            <w:shd w:val="clear" w:color="auto" w:fill="auto"/>
          </w:tcPr>
          <w:p w:rsidR="00A762FE" w:rsidRPr="005F4F34" w:rsidRDefault="00EA2257" w:rsidP="00A762FE">
            <w:pPr>
              <w:jc w:val="center"/>
              <w:rPr>
                <w:rFonts w:cs="Calibri"/>
              </w:rPr>
            </w:pPr>
            <w:r w:rsidRPr="005F4F34">
              <w:rPr>
                <w:rFonts w:cs="Calibri"/>
              </w:rPr>
              <w:t>3</w:t>
            </w:r>
          </w:p>
        </w:tc>
      </w:tr>
      <w:tr w:rsidR="00A762FE" w:rsidRPr="00B67FEC" w:rsidTr="00EA2257">
        <w:tc>
          <w:tcPr>
            <w:tcW w:w="8613" w:type="dxa"/>
            <w:shd w:val="clear" w:color="auto" w:fill="auto"/>
          </w:tcPr>
          <w:p w:rsidR="00A762FE" w:rsidRPr="00B67FEC" w:rsidRDefault="00A762FE" w:rsidP="00A762FE">
            <w:pPr>
              <w:rPr>
                <w:rFonts w:cs="Calibri"/>
              </w:rPr>
            </w:pPr>
            <w:r w:rsidRPr="00B67FEC">
              <w:rPr>
                <w:rFonts w:cs="Calibri"/>
              </w:rPr>
              <w:t>Misure di formazione</w:t>
            </w:r>
          </w:p>
        </w:tc>
        <w:tc>
          <w:tcPr>
            <w:tcW w:w="1467" w:type="dxa"/>
            <w:shd w:val="clear" w:color="auto" w:fill="auto"/>
          </w:tcPr>
          <w:p w:rsidR="00A762FE" w:rsidRPr="005F4F34" w:rsidRDefault="00EA2257" w:rsidP="00A762FE">
            <w:pPr>
              <w:jc w:val="center"/>
              <w:rPr>
                <w:rFonts w:cs="Calibri"/>
              </w:rPr>
            </w:pPr>
            <w:r w:rsidRPr="005F4F34">
              <w:rPr>
                <w:rFonts w:cs="Calibri"/>
              </w:rPr>
              <w:t>0</w:t>
            </w:r>
          </w:p>
        </w:tc>
      </w:tr>
      <w:tr w:rsidR="00A762FE" w:rsidRPr="00B67FEC" w:rsidTr="00EA2257">
        <w:tc>
          <w:tcPr>
            <w:tcW w:w="8613" w:type="dxa"/>
            <w:shd w:val="clear" w:color="auto" w:fill="auto"/>
          </w:tcPr>
          <w:p w:rsidR="00A762FE" w:rsidRPr="00B67FEC" w:rsidRDefault="00A762FE" w:rsidP="00A762FE">
            <w:pPr>
              <w:rPr>
                <w:rFonts w:cs="Calibri"/>
              </w:rPr>
            </w:pPr>
            <w:r w:rsidRPr="00B67FEC">
              <w:rPr>
                <w:rFonts w:cs="Calibri"/>
              </w:rPr>
              <w:t>Misure di rotazione</w:t>
            </w:r>
          </w:p>
        </w:tc>
        <w:tc>
          <w:tcPr>
            <w:tcW w:w="1467" w:type="dxa"/>
            <w:shd w:val="clear" w:color="auto" w:fill="auto"/>
          </w:tcPr>
          <w:p w:rsidR="00A762FE" w:rsidRPr="005F4F34" w:rsidRDefault="00EA2257" w:rsidP="00A762FE">
            <w:pPr>
              <w:jc w:val="center"/>
              <w:rPr>
                <w:rFonts w:cs="Calibri"/>
              </w:rPr>
            </w:pPr>
            <w:r w:rsidRPr="005F4F34">
              <w:rPr>
                <w:rFonts w:cs="Calibri"/>
              </w:rPr>
              <w:t>5</w:t>
            </w:r>
          </w:p>
        </w:tc>
      </w:tr>
      <w:tr w:rsidR="00A762FE" w:rsidRPr="00B67FEC" w:rsidTr="00EA2257">
        <w:tc>
          <w:tcPr>
            <w:tcW w:w="8613" w:type="dxa"/>
            <w:shd w:val="clear" w:color="auto" w:fill="auto"/>
          </w:tcPr>
          <w:p w:rsidR="00A762FE" w:rsidRPr="00B67FEC" w:rsidRDefault="00A762FE" w:rsidP="00A762FE">
            <w:pPr>
              <w:rPr>
                <w:rFonts w:cs="Calibri"/>
              </w:rPr>
            </w:pPr>
            <w:r w:rsidRPr="00B67FEC">
              <w:rPr>
                <w:rFonts w:cs="Calibri"/>
              </w:rPr>
              <w:t>Misure di disciplina del conflitto di interessi</w:t>
            </w:r>
          </w:p>
        </w:tc>
        <w:tc>
          <w:tcPr>
            <w:tcW w:w="1467" w:type="dxa"/>
            <w:shd w:val="clear" w:color="auto" w:fill="auto"/>
          </w:tcPr>
          <w:p w:rsidR="00A762FE" w:rsidRPr="005F4F34" w:rsidRDefault="00EA2257" w:rsidP="00A762FE">
            <w:pPr>
              <w:jc w:val="center"/>
              <w:rPr>
                <w:rFonts w:cs="Calibri"/>
              </w:rPr>
            </w:pPr>
            <w:r w:rsidRPr="005F4F34">
              <w:rPr>
                <w:rFonts w:cs="Calibri"/>
              </w:rPr>
              <w:t>4</w:t>
            </w:r>
          </w:p>
        </w:tc>
      </w:tr>
    </w:tbl>
    <w:p w:rsidR="00675334" w:rsidRPr="00B67FEC" w:rsidRDefault="00675334" w:rsidP="0049154B">
      <w:pPr>
        <w:rPr>
          <w:rFonts w:cs="Calibri"/>
        </w:rPr>
      </w:pPr>
    </w:p>
    <w:p w:rsidR="00675334" w:rsidRPr="00B67FEC" w:rsidRDefault="00BD3720" w:rsidP="0049154B">
      <w:pPr>
        <w:rPr>
          <w:rFonts w:cs="Calibri"/>
        </w:rPr>
      </w:pPr>
      <w:r w:rsidRPr="00B67FEC">
        <w:rPr>
          <w:rFonts w:cs="Calibri"/>
        </w:rPr>
        <w:t xml:space="preserve">In ognuna delle diverse Aree in cui è articolato l’allegato </w:t>
      </w:r>
      <w:r w:rsidR="00723447" w:rsidRPr="00B67FEC">
        <w:rPr>
          <w:rFonts w:cs="Calibri"/>
          <w:b/>
        </w:rPr>
        <w:t>“</w:t>
      </w:r>
      <w:r w:rsidR="00B61F65">
        <w:rPr>
          <w:rFonts w:cs="Calibri"/>
          <w:b/>
        </w:rPr>
        <w:t>Piano dei Rischi 2022</w:t>
      </w:r>
      <w:r w:rsidR="00723447" w:rsidRPr="00B67FEC">
        <w:rPr>
          <w:rFonts w:cs="Calibri"/>
          <w:b/>
        </w:rPr>
        <w:t>”</w:t>
      </w:r>
      <w:r w:rsidRPr="00B67FEC">
        <w:rPr>
          <w:rFonts w:cs="Calibri"/>
        </w:rPr>
        <w:t xml:space="preserve"> sono pertanto riportate </w:t>
      </w:r>
      <w:r w:rsidR="00E72819">
        <w:rPr>
          <w:rFonts w:cs="Calibri"/>
        </w:rPr>
        <w:t xml:space="preserve">tali misure specifiche </w:t>
      </w:r>
      <w:r w:rsidR="000D50F1">
        <w:rPr>
          <w:rFonts w:cs="Calibri"/>
        </w:rPr>
        <w:t xml:space="preserve">che riportano </w:t>
      </w:r>
      <w:r w:rsidRPr="00B67FEC">
        <w:rPr>
          <w:rFonts w:cs="Calibri"/>
        </w:rPr>
        <w:t>in apposite colonne:</w:t>
      </w:r>
    </w:p>
    <w:p w:rsidR="00BD3720" w:rsidRPr="00B67FEC" w:rsidRDefault="00BD3720" w:rsidP="00B67FEC">
      <w:pPr>
        <w:numPr>
          <w:ilvl w:val="0"/>
          <w:numId w:val="12"/>
        </w:numPr>
        <w:rPr>
          <w:rFonts w:cs="Calibri"/>
          <w:b/>
        </w:rPr>
      </w:pPr>
      <w:r w:rsidRPr="00B67FEC">
        <w:rPr>
          <w:rFonts w:cs="Calibri"/>
          <w:b/>
        </w:rPr>
        <w:t xml:space="preserve">Fasi/attività per la </w:t>
      </w:r>
      <w:r w:rsidR="000D50F1">
        <w:rPr>
          <w:rFonts w:cs="Calibri"/>
          <w:b/>
        </w:rPr>
        <w:t>relativa</w:t>
      </w:r>
      <w:r w:rsidRPr="00B67FEC">
        <w:rPr>
          <w:rFonts w:cs="Calibri"/>
          <w:b/>
        </w:rPr>
        <w:t xml:space="preserve"> attuazione</w:t>
      </w:r>
      <w:r w:rsidR="00474C73">
        <w:rPr>
          <w:rFonts w:cs="Calibri"/>
          <w:b/>
        </w:rPr>
        <w:t>.</w:t>
      </w:r>
    </w:p>
    <w:p w:rsidR="00BD3720" w:rsidRPr="00B67FEC" w:rsidRDefault="00BD3720" w:rsidP="00B67FEC">
      <w:pPr>
        <w:numPr>
          <w:ilvl w:val="0"/>
          <w:numId w:val="12"/>
        </w:numPr>
        <w:rPr>
          <w:rFonts w:cs="Calibri"/>
          <w:b/>
        </w:rPr>
      </w:pPr>
      <w:r w:rsidRPr="00B67FEC">
        <w:rPr>
          <w:rFonts w:cs="Calibri"/>
          <w:b/>
        </w:rPr>
        <w:t>Tempi di attuazione</w:t>
      </w:r>
      <w:r w:rsidR="00474C73">
        <w:rPr>
          <w:rFonts w:cs="Calibri"/>
          <w:b/>
        </w:rPr>
        <w:t>.</w:t>
      </w:r>
    </w:p>
    <w:p w:rsidR="00BD3720" w:rsidRPr="00B67FEC" w:rsidRDefault="00BD3720" w:rsidP="00B67FEC">
      <w:pPr>
        <w:numPr>
          <w:ilvl w:val="0"/>
          <w:numId w:val="12"/>
        </w:numPr>
        <w:rPr>
          <w:rFonts w:cs="Calibri"/>
          <w:b/>
        </w:rPr>
      </w:pPr>
      <w:r w:rsidRPr="00B67FEC">
        <w:rPr>
          <w:rFonts w:cs="Calibri"/>
          <w:b/>
        </w:rPr>
        <w:t xml:space="preserve">Responsabili della </w:t>
      </w:r>
      <w:r w:rsidR="000D50F1">
        <w:rPr>
          <w:rFonts w:cs="Calibri"/>
          <w:b/>
        </w:rPr>
        <w:t>relativa</w:t>
      </w:r>
      <w:r w:rsidRPr="00B67FEC">
        <w:rPr>
          <w:rFonts w:cs="Calibri"/>
          <w:b/>
        </w:rPr>
        <w:t xml:space="preserve"> attuazione</w:t>
      </w:r>
      <w:r w:rsidR="00474C73">
        <w:rPr>
          <w:rFonts w:cs="Calibri"/>
          <w:b/>
        </w:rPr>
        <w:t>.</w:t>
      </w:r>
    </w:p>
    <w:p w:rsidR="00BD3720" w:rsidRPr="00B67FEC" w:rsidRDefault="00BD3720" w:rsidP="00B67FEC">
      <w:pPr>
        <w:numPr>
          <w:ilvl w:val="0"/>
          <w:numId w:val="12"/>
        </w:numPr>
        <w:rPr>
          <w:rFonts w:cs="Calibri"/>
          <w:b/>
        </w:rPr>
      </w:pPr>
      <w:r w:rsidRPr="00B67FEC">
        <w:rPr>
          <w:rFonts w:cs="Calibri"/>
          <w:b/>
        </w:rPr>
        <w:t>Indicatori di monitoraggio, qualora pertinenti</w:t>
      </w:r>
      <w:r w:rsidR="00474C73">
        <w:rPr>
          <w:rFonts w:cs="Calibri"/>
          <w:b/>
        </w:rPr>
        <w:t>.</w:t>
      </w:r>
    </w:p>
    <w:p w:rsidR="00BD3720" w:rsidRPr="00B67FEC" w:rsidRDefault="00BD3720" w:rsidP="0049154B">
      <w:pPr>
        <w:rPr>
          <w:rFonts w:cs="Calibri"/>
        </w:rPr>
      </w:pPr>
    </w:p>
    <w:p w:rsidR="005C5806" w:rsidRPr="005E75DF" w:rsidRDefault="005C5806" w:rsidP="005E75DF">
      <w:pPr>
        <w:pStyle w:val="Titolo2"/>
        <w:rPr>
          <w:rFonts w:cs="Calibri"/>
        </w:rPr>
      </w:pPr>
      <w:bookmarkStart w:id="215" w:name="_Toc28966911"/>
      <w:bookmarkStart w:id="216" w:name="_Toc28967131"/>
      <w:bookmarkStart w:id="217" w:name="_Toc28967384"/>
      <w:bookmarkStart w:id="218" w:name="_Toc101602046"/>
      <w:bookmarkStart w:id="219" w:name="_Toc472243231"/>
      <w:bookmarkStart w:id="220" w:name="_Toc28881650"/>
      <w:r w:rsidRPr="00B67FEC">
        <w:rPr>
          <w:rFonts w:cs="Calibri"/>
        </w:rPr>
        <w:t>M. TRASPARENZA</w:t>
      </w:r>
      <w:bookmarkEnd w:id="215"/>
      <w:bookmarkEnd w:id="216"/>
      <w:bookmarkEnd w:id="217"/>
      <w:bookmarkEnd w:id="218"/>
    </w:p>
    <w:p w:rsidR="00BD3720" w:rsidRPr="00B67FEC" w:rsidRDefault="00BD3720" w:rsidP="0049154B">
      <w:pPr>
        <w:rPr>
          <w:rFonts w:cs="Calibri"/>
          <w:b/>
        </w:rPr>
      </w:pPr>
      <w:bookmarkStart w:id="221" w:name="_Toc472243233"/>
      <w:bookmarkStart w:id="222" w:name="_Toc28881652"/>
      <w:r w:rsidRPr="00B67FEC">
        <w:rPr>
          <w:rFonts w:cs="Calibri"/>
          <w:b/>
        </w:rPr>
        <w:t>Il nuovo accesso civico</w:t>
      </w:r>
      <w:bookmarkEnd w:id="221"/>
      <w:bookmarkEnd w:id="222"/>
    </w:p>
    <w:p w:rsidR="00BD3720" w:rsidRPr="00B67FEC" w:rsidRDefault="00BD3720" w:rsidP="0049154B">
      <w:pPr>
        <w:rPr>
          <w:rFonts w:eastAsia="MS Mincho" w:cs="Calibri"/>
          <w:lang w:eastAsia="ja-JP"/>
        </w:rPr>
      </w:pPr>
      <w:r w:rsidRPr="00B67FEC">
        <w:rPr>
          <w:rFonts w:eastAsia="MS Mincho" w:cs="Calibri"/>
          <w:lang w:eastAsia="ja-JP"/>
        </w:rPr>
        <w:t>Il D.lgs. 97/2016 ha modificato ed integrato il D.lgs. 14 marzo 2013 n. 33 (cd. “Decreto trasparenza”), con particolare riferimento al diritto di accesso civico, formalizzando le diverse tipologie di accesso ad atti e documenti da parte dei cittadini:</w:t>
      </w:r>
    </w:p>
    <w:p w:rsidR="00BD3720" w:rsidRPr="00B67FEC" w:rsidRDefault="00BD3720" w:rsidP="00B67FEC">
      <w:pPr>
        <w:numPr>
          <w:ilvl w:val="0"/>
          <w:numId w:val="18"/>
        </w:numPr>
        <w:rPr>
          <w:rFonts w:eastAsia="MS Mincho" w:cs="Calibri"/>
          <w:lang w:eastAsia="ja-JP"/>
        </w:rPr>
      </w:pPr>
      <w:r w:rsidRPr="00B67FEC">
        <w:rPr>
          <w:rFonts w:eastAsia="MS Mincho" w:cs="Calibri"/>
          <w:b/>
          <w:lang w:eastAsia="ja-JP"/>
        </w:rPr>
        <w:t>Accesso “generalizzato”</w:t>
      </w:r>
      <w:r w:rsidRPr="00B67FEC">
        <w:rPr>
          <w:rFonts w:eastAsia="MS Mincho" w:cs="Calibri"/>
          <w:lang w:eastAsia="ja-JP"/>
        </w:rPr>
        <w:t xml:space="preserve"> che determina il diritto di accedere ai dati e ai documenti detenuti dalle pubbliche amministrazioni, ulteriori rispetto a </w:t>
      </w:r>
      <w:r w:rsidR="00474C73">
        <w:rPr>
          <w:rFonts w:eastAsia="MS Mincho" w:cs="Calibri"/>
          <w:lang w:eastAsia="ja-JP"/>
        </w:rPr>
        <w:t>quelli oggetto di pubblicazione.</w:t>
      </w:r>
    </w:p>
    <w:p w:rsidR="00BD3720" w:rsidRPr="00B67FEC" w:rsidRDefault="00BD3720" w:rsidP="00B67FEC">
      <w:pPr>
        <w:numPr>
          <w:ilvl w:val="0"/>
          <w:numId w:val="18"/>
        </w:numPr>
        <w:rPr>
          <w:rFonts w:eastAsia="MS Mincho" w:cs="Calibri"/>
          <w:b/>
          <w:lang w:eastAsia="ja-JP"/>
        </w:rPr>
      </w:pPr>
      <w:r w:rsidRPr="00B67FEC">
        <w:rPr>
          <w:rFonts w:eastAsia="MS Mincho" w:cs="Calibri"/>
          <w:b/>
          <w:lang w:eastAsia="ja-JP"/>
        </w:rPr>
        <w:t xml:space="preserve">Accesso civico “semplice” </w:t>
      </w:r>
      <w:r w:rsidRPr="00B67FEC">
        <w:rPr>
          <w:rFonts w:cs="Calibri"/>
        </w:rPr>
        <w:t xml:space="preserve">correlato ai soli atti ed informazioni oggetto di obbligo di pubblicazione (art. 5 D.lgs. 33/2013); le modalità e i responsabili della procedura di accesso civico sono pubblicati sul sito istituzionale al link “Amministrazione </w:t>
      </w:r>
      <w:proofErr w:type="spellStart"/>
      <w:r w:rsidRPr="00B67FEC">
        <w:rPr>
          <w:rFonts w:cs="Calibri"/>
        </w:rPr>
        <w:t>Trasparente\A</w:t>
      </w:r>
      <w:r w:rsidR="00474C73">
        <w:rPr>
          <w:rFonts w:cs="Calibri"/>
        </w:rPr>
        <w:t>ltri</w:t>
      </w:r>
      <w:proofErr w:type="spellEnd"/>
      <w:r w:rsidR="00474C73">
        <w:rPr>
          <w:rFonts w:cs="Calibri"/>
        </w:rPr>
        <w:t xml:space="preserve"> </w:t>
      </w:r>
      <w:proofErr w:type="spellStart"/>
      <w:r w:rsidR="00474C73">
        <w:rPr>
          <w:rFonts w:cs="Calibri"/>
        </w:rPr>
        <w:t>contenuti\Accesso</w:t>
      </w:r>
      <w:proofErr w:type="spellEnd"/>
      <w:r w:rsidR="00474C73">
        <w:rPr>
          <w:rFonts w:cs="Calibri"/>
        </w:rPr>
        <w:t xml:space="preserve"> Civico”.</w:t>
      </w:r>
    </w:p>
    <w:p w:rsidR="00BD3720" w:rsidRPr="00B67FEC" w:rsidRDefault="00BD3720" w:rsidP="00B67FEC">
      <w:pPr>
        <w:numPr>
          <w:ilvl w:val="0"/>
          <w:numId w:val="18"/>
        </w:numPr>
        <w:rPr>
          <w:rFonts w:eastAsia="MS Mincho" w:cs="Calibri"/>
          <w:b/>
          <w:lang w:eastAsia="ja-JP"/>
        </w:rPr>
      </w:pPr>
      <w:r w:rsidRPr="00B67FEC">
        <w:rPr>
          <w:rFonts w:eastAsia="MS Mincho" w:cs="Calibri"/>
          <w:b/>
          <w:lang w:eastAsia="ja-JP"/>
        </w:rPr>
        <w:t>Accesso documentale</w:t>
      </w:r>
      <w:r w:rsidRPr="00B67FEC">
        <w:rPr>
          <w:rFonts w:eastAsia="MS Mincho" w:cs="Calibri"/>
          <w:lang w:eastAsia="ja-JP"/>
        </w:rPr>
        <w:t xml:space="preserve"> riservato ai soggetti interessati in grado di esercitare al meglio le facoltà che l'ordinamento attribuisce loro, a tutela delle posizioni giuridiche qualificate di cui sono titolari</w:t>
      </w:r>
      <w:r w:rsidRPr="00B67FEC">
        <w:rPr>
          <w:rFonts w:eastAsia="MS Mincho" w:cs="Calibri"/>
          <w:b/>
          <w:lang w:eastAsia="ja-JP"/>
        </w:rPr>
        <w:t xml:space="preserve"> </w:t>
      </w:r>
      <w:r w:rsidRPr="00B67FEC">
        <w:rPr>
          <w:rFonts w:eastAsia="MS Mincho" w:cs="Calibri"/>
          <w:lang w:eastAsia="ja-JP"/>
        </w:rPr>
        <w:t>(Artt. 22 e succ. L.241/90).</w:t>
      </w:r>
    </w:p>
    <w:p w:rsidR="00BD3720" w:rsidRPr="00B67FEC" w:rsidRDefault="00BD3720" w:rsidP="0049154B">
      <w:pPr>
        <w:rPr>
          <w:rFonts w:eastAsia="MS Mincho" w:cs="Calibri"/>
          <w:lang w:eastAsia="ja-JP"/>
        </w:rPr>
      </w:pPr>
      <w:r w:rsidRPr="00B67FEC">
        <w:rPr>
          <w:rFonts w:eastAsia="MS Mincho" w:cs="Calibri"/>
          <w:lang w:eastAsia="ja-JP"/>
        </w:rPr>
        <w:t xml:space="preserve">Lo modalità di attivazione </w:t>
      </w:r>
      <w:r w:rsidRPr="00B67FEC">
        <w:rPr>
          <w:rFonts w:eastAsia="MS Mincho" w:cs="Calibri"/>
          <w:b/>
          <w:lang w:eastAsia="ja-JP"/>
        </w:rPr>
        <w:t>dell’accesso civico generalizzato</w:t>
      </w:r>
      <w:r w:rsidRPr="00B67FEC">
        <w:rPr>
          <w:rFonts w:eastAsia="MS Mincho" w:cs="Calibri"/>
          <w:lang w:eastAsia="ja-JP"/>
        </w:rPr>
        <w:t>, l’iter e le esclusioni e le limitazioni all’accesso, così come dettagliate nelle Determinazioni ANAC n. 1309 del 28/12/2016 “</w:t>
      </w:r>
      <w:r w:rsidRPr="00B67FEC">
        <w:rPr>
          <w:rFonts w:cs="Calibri"/>
        </w:rPr>
        <w:t>L</w:t>
      </w:r>
      <w:r w:rsidRPr="00B67FEC">
        <w:rPr>
          <w:rFonts w:eastAsia="MS Mincho" w:cs="Calibri"/>
          <w:lang w:eastAsia="ja-JP"/>
        </w:rPr>
        <w:t xml:space="preserve">INEE GUIDA RECANTI INDICAZIONI OPERATIVE AI FINI DELLA DEFINIZIONE DELLE ESCLUSIONI E DEI LIMITI ALL'ACCESSO CIVICO </w:t>
      </w:r>
      <w:proofErr w:type="spellStart"/>
      <w:r w:rsidRPr="00B67FEC">
        <w:rPr>
          <w:rFonts w:eastAsia="MS Mincho" w:cs="Calibri"/>
          <w:lang w:eastAsia="ja-JP"/>
        </w:rPr>
        <w:t>DI</w:t>
      </w:r>
      <w:proofErr w:type="spellEnd"/>
      <w:r w:rsidRPr="00B67FEC">
        <w:rPr>
          <w:rFonts w:eastAsia="MS Mincho" w:cs="Calibri"/>
          <w:lang w:eastAsia="ja-JP"/>
        </w:rPr>
        <w:t xml:space="preserve"> CUI ALL’ART. 5 </w:t>
      </w:r>
      <w:r w:rsidR="00474C73">
        <w:rPr>
          <w:rFonts w:eastAsia="MS Mincho" w:cs="Calibri"/>
          <w:lang w:eastAsia="ja-JP"/>
        </w:rPr>
        <w:t>COMMA</w:t>
      </w:r>
      <w:r w:rsidRPr="00B67FEC">
        <w:rPr>
          <w:rFonts w:eastAsia="MS Mincho" w:cs="Calibri"/>
          <w:lang w:eastAsia="ja-JP"/>
        </w:rPr>
        <w:t xml:space="preserve"> 3 </w:t>
      </w:r>
      <w:r w:rsidR="00474C73">
        <w:rPr>
          <w:rFonts w:eastAsia="MS Mincho" w:cs="Calibri"/>
          <w:lang w:eastAsia="ja-JP"/>
        </w:rPr>
        <w:t>DEL</w:t>
      </w:r>
      <w:r w:rsidRPr="00B67FEC">
        <w:rPr>
          <w:rFonts w:eastAsia="MS Mincho" w:cs="Calibri"/>
          <w:lang w:eastAsia="ja-JP"/>
        </w:rPr>
        <w:t xml:space="preserve"> </w:t>
      </w:r>
      <w:proofErr w:type="spellStart"/>
      <w:r w:rsidRPr="00B67FEC">
        <w:rPr>
          <w:rFonts w:eastAsia="MS Mincho" w:cs="Calibri"/>
          <w:lang w:eastAsia="ja-JP"/>
        </w:rPr>
        <w:t>D.</w:t>
      </w:r>
      <w:r w:rsidR="00474C73">
        <w:rPr>
          <w:rFonts w:eastAsia="MS Mincho" w:cs="Calibri"/>
          <w:lang w:eastAsia="ja-JP"/>
        </w:rPr>
        <w:t>LGS</w:t>
      </w:r>
      <w:r w:rsidRPr="00B67FEC">
        <w:rPr>
          <w:rFonts w:eastAsia="MS Mincho" w:cs="Calibri"/>
          <w:lang w:eastAsia="ja-JP"/>
        </w:rPr>
        <w:t>.</w:t>
      </w:r>
      <w:proofErr w:type="spellEnd"/>
      <w:r w:rsidRPr="00B67FEC">
        <w:rPr>
          <w:rFonts w:eastAsia="MS Mincho" w:cs="Calibri"/>
          <w:lang w:eastAsia="ja-JP"/>
        </w:rPr>
        <w:t xml:space="preserve"> 33/13” sono state recepite in toto dal</w:t>
      </w:r>
      <w:r w:rsidR="00F902C5" w:rsidRPr="00B67FEC">
        <w:rPr>
          <w:rFonts w:eastAsia="MS Mincho" w:cs="Calibri"/>
          <w:lang w:eastAsia="ja-JP"/>
        </w:rPr>
        <w:t>la Società</w:t>
      </w:r>
      <w:r w:rsidRPr="00B67FEC">
        <w:rPr>
          <w:rFonts w:eastAsia="MS Mincho" w:cs="Calibri"/>
          <w:lang w:eastAsia="ja-JP"/>
        </w:rPr>
        <w:t>.</w:t>
      </w:r>
    </w:p>
    <w:p w:rsidR="00B264D6" w:rsidRPr="00B67FEC" w:rsidRDefault="00B264D6" w:rsidP="0049154B">
      <w:pPr>
        <w:rPr>
          <w:rFonts w:eastAsia="MS Mincho" w:cs="Calibri"/>
          <w:lang w:eastAsia="ja-JP"/>
        </w:rPr>
      </w:pPr>
    </w:p>
    <w:bookmarkEnd w:id="219"/>
    <w:bookmarkEnd w:id="220"/>
    <w:p w:rsidR="00BD3720" w:rsidRPr="00B67FEC" w:rsidRDefault="00BD3720" w:rsidP="0049154B">
      <w:pPr>
        <w:rPr>
          <w:rFonts w:eastAsia="MS Mincho" w:cs="Calibri"/>
          <w:b/>
          <w:lang w:eastAsia="ja-JP"/>
        </w:rPr>
      </w:pPr>
      <w:r w:rsidRPr="00B67FEC">
        <w:rPr>
          <w:rFonts w:eastAsia="MS Mincho" w:cs="Calibri"/>
          <w:b/>
          <w:lang w:eastAsia="ja-JP"/>
        </w:rPr>
        <w:t>Obblighi di pubblicazione</w:t>
      </w:r>
    </w:p>
    <w:p w:rsidR="005C5806" w:rsidRPr="00B67FEC" w:rsidRDefault="00BD3720" w:rsidP="0049154B">
      <w:pPr>
        <w:rPr>
          <w:rFonts w:eastAsia="MS Mincho" w:cs="Calibri"/>
          <w:lang w:eastAsia="ja-JP"/>
        </w:rPr>
      </w:pPr>
      <w:r w:rsidRPr="00B67FEC">
        <w:rPr>
          <w:rFonts w:eastAsia="MS Mincho" w:cs="Calibri"/>
          <w:lang w:eastAsia="ja-JP"/>
        </w:rPr>
        <w:t>All’</w:t>
      </w:r>
      <w:r w:rsidR="005C5806" w:rsidRPr="00B67FEC">
        <w:rPr>
          <w:rFonts w:eastAsia="MS Mincho" w:cs="Calibri"/>
          <w:lang w:eastAsia="ja-JP"/>
        </w:rPr>
        <w:t xml:space="preserve">art. 10 del d.lgs. 33/2013 è chiarito che la sezione del </w:t>
      </w:r>
      <w:proofErr w:type="spellStart"/>
      <w:r w:rsidR="005C5806" w:rsidRPr="00B67FEC">
        <w:rPr>
          <w:rFonts w:eastAsia="MS Mincho" w:cs="Calibri"/>
          <w:lang w:eastAsia="ja-JP"/>
        </w:rPr>
        <w:t>PTPC</w:t>
      </w:r>
      <w:r w:rsidR="00F54AE7" w:rsidRPr="00B67FEC">
        <w:rPr>
          <w:rFonts w:eastAsia="MS Mincho" w:cs="Calibri"/>
          <w:lang w:eastAsia="ja-JP"/>
        </w:rPr>
        <w:t>e</w:t>
      </w:r>
      <w:r w:rsidR="005C5806" w:rsidRPr="00B67FEC">
        <w:rPr>
          <w:rFonts w:eastAsia="MS Mincho" w:cs="Calibri"/>
          <w:lang w:eastAsia="ja-JP"/>
        </w:rPr>
        <w:t>T</w:t>
      </w:r>
      <w:proofErr w:type="spellEnd"/>
      <w:r w:rsidR="005C5806" w:rsidRPr="00B67FEC">
        <w:rPr>
          <w:rFonts w:eastAsia="MS Mincho" w:cs="Calibri"/>
          <w:lang w:eastAsia="ja-JP"/>
        </w:rPr>
        <w:t xml:space="preserve"> sulla trasparenza deve essere impostata come atto organizzativo fondamentale dei flussi informativi necessari per garantire, all’interno di ogni organizzazione, l’individuazione/l’elaborazione, la trasmissione e la pubblicazione dei dati. </w:t>
      </w:r>
    </w:p>
    <w:p w:rsidR="00BD3720" w:rsidRPr="00B67FEC" w:rsidRDefault="005C5806" w:rsidP="0049154B">
      <w:pPr>
        <w:rPr>
          <w:rFonts w:eastAsia="MS Mincho" w:cs="Calibri"/>
          <w:lang w:eastAsia="ja-JP"/>
        </w:rPr>
      </w:pPr>
      <w:r w:rsidRPr="00B67FEC">
        <w:rPr>
          <w:rFonts w:eastAsia="MS Mincho" w:cs="Calibri"/>
          <w:lang w:eastAsia="ja-JP"/>
        </w:rPr>
        <w:t>Caratteristica essenziale della sezione della trasparenza è l’indicazione dei nominativi dei soggetti responsabili di ognuna di queste fasi relativamente ad</w:t>
      </w:r>
      <w:r w:rsidR="00BD3720" w:rsidRPr="00B67FEC">
        <w:rPr>
          <w:rFonts w:eastAsia="MS Mincho" w:cs="Calibri"/>
          <w:lang w:eastAsia="ja-JP"/>
        </w:rPr>
        <w:t xml:space="preserve"> ogni obbligo di pubblicazione.</w:t>
      </w:r>
    </w:p>
    <w:p w:rsidR="005C5806" w:rsidRPr="00B67FEC" w:rsidRDefault="005C5806" w:rsidP="0049154B">
      <w:pPr>
        <w:rPr>
          <w:rFonts w:eastAsia="MS Mincho" w:cs="Calibri"/>
          <w:lang w:eastAsia="ja-JP"/>
        </w:rPr>
      </w:pPr>
      <w:r w:rsidRPr="00B67FEC">
        <w:rPr>
          <w:rFonts w:eastAsia="MS Mincho" w:cs="Calibri"/>
          <w:lang w:eastAsia="ja-JP"/>
        </w:rPr>
        <w:t>L’Allegata</w:t>
      </w:r>
      <w:r w:rsidRPr="00B67FEC">
        <w:rPr>
          <w:rFonts w:eastAsia="MS Mincho" w:cs="Calibri"/>
          <w:b/>
          <w:lang w:eastAsia="ja-JP"/>
        </w:rPr>
        <w:t xml:space="preserve"> “Mappa trasparenza</w:t>
      </w:r>
      <w:r w:rsidRPr="00B67FEC">
        <w:rPr>
          <w:rFonts w:eastAsia="MS Mincho" w:cs="Calibri"/>
          <w:lang w:eastAsia="ja-JP"/>
        </w:rPr>
        <w:t xml:space="preserve">” al presente </w:t>
      </w:r>
      <w:proofErr w:type="spellStart"/>
      <w:r w:rsidRPr="00B67FEC">
        <w:rPr>
          <w:rFonts w:eastAsia="MS Mincho" w:cs="Calibri"/>
          <w:lang w:eastAsia="ja-JP"/>
        </w:rPr>
        <w:t>PTPCeT</w:t>
      </w:r>
      <w:proofErr w:type="spellEnd"/>
      <w:r w:rsidRPr="00B67FEC">
        <w:rPr>
          <w:rFonts w:eastAsia="MS Mincho" w:cs="Calibri"/>
          <w:lang w:eastAsia="ja-JP"/>
        </w:rPr>
        <w:t xml:space="preserve"> definisce gli obblighi di pubblicazione vigenti ai sensi del d.lgs. n. 33/2013 come modificato al d.lgs. n. 97/2016.</w:t>
      </w:r>
    </w:p>
    <w:p w:rsidR="00B264D6" w:rsidRPr="00B67FEC" w:rsidRDefault="00B264D6" w:rsidP="0049154B">
      <w:pPr>
        <w:rPr>
          <w:rFonts w:cs="Calibri"/>
          <w:b/>
        </w:rPr>
      </w:pPr>
    </w:p>
    <w:p w:rsidR="005C5806" w:rsidRPr="00B67FEC" w:rsidRDefault="00BD3720" w:rsidP="0049154B">
      <w:pPr>
        <w:rPr>
          <w:rFonts w:cs="Calibri"/>
          <w:b/>
          <w:bCs/>
        </w:rPr>
      </w:pPr>
      <w:r w:rsidRPr="00B67FEC">
        <w:rPr>
          <w:rFonts w:cs="Calibri"/>
          <w:b/>
        </w:rPr>
        <w:t>Monitoraggio</w:t>
      </w:r>
    </w:p>
    <w:p w:rsidR="005C5806" w:rsidRPr="00B67FEC" w:rsidRDefault="005C5806" w:rsidP="0049154B">
      <w:pPr>
        <w:rPr>
          <w:rFonts w:eastAsia="MS Mincho" w:cs="Calibri"/>
          <w:lang w:eastAsia="ja-JP"/>
        </w:rPr>
      </w:pPr>
      <w:r w:rsidRPr="00B67FEC">
        <w:rPr>
          <w:rFonts w:eastAsia="MS Mincho" w:cs="Calibri"/>
          <w:lang w:eastAsia="ja-JP"/>
        </w:rPr>
        <w:t xml:space="preserve">Nell’obiettivo di programmare ed integrare in modo più incisivo e sinergico la materia della trasparenza e dell’anticorruzione rientra, inoltre, la modifica apportata all’art. 1, </w:t>
      </w:r>
      <w:proofErr w:type="spellStart"/>
      <w:r w:rsidRPr="00B67FEC">
        <w:rPr>
          <w:rFonts w:eastAsia="MS Mincho" w:cs="Calibri"/>
          <w:lang w:eastAsia="ja-JP"/>
        </w:rPr>
        <w:t>co</w:t>
      </w:r>
      <w:proofErr w:type="spellEnd"/>
      <w:r w:rsidRPr="00B67FEC">
        <w:rPr>
          <w:rFonts w:eastAsia="MS Mincho" w:cs="Calibri"/>
          <w:lang w:eastAsia="ja-JP"/>
        </w:rPr>
        <w:t xml:space="preserve">. 7, della legge 190/2012 dall’art. 41 </w:t>
      </w:r>
      <w:proofErr w:type="spellStart"/>
      <w:r w:rsidRPr="00B67FEC">
        <w:rPr>
          <w:rFonts w:eastAsia="MS Mincho" w:cs="Calibri"/>
          <w:lang w:eastAsia="ja-JP"/>
        </w:rPr>
        <w:t>co</w:t>
      </w:r>
      <w:proofErr w:type="spellEnd"/>
      <w:r w:rsidRPr="00B67FEC">
        <w:rPr>
          <w:rFonts w:eastAsia="MS Mincho" w:cs="Calibri"/>
          <w:lang w:eastAsia="ja-JP"/>
        </w:rPr>
        <w:t xml:space="preserve">. 1 lett. f) del d.lgs. 97/2016 in cui è previsto che vi sia un unico Responsabile della prevenzione della corruzione e della trasparenza.  </w:t>
      </w:r>
    </w:p>
    <w:p w:rsidR="00BD3720" w:rsidRPr="00B67FEC" w:rsidRDefault="00BD3720" w:rsidP="0049154B">
      <w:pPr>
        <w:rPr>
          <w:rFonts w:eastAsia="MS Mincho" w:cs="Calibri"/>
          <w:lang w:eastAsia="ja-JP"/>
        </w:rPr>
      </w:pPr>
      <w:r w:rsidRPr="00B67FEC">
        <w:rPr>
          <w:rFonts w:eastAsia="MS Mincho" w:cs="Calibri"/>
          <w:lang w:eastAsia="ja-JP"/>
        </w:rPr>
        <w:t>Il RPTC svolge, come previsto dall’art. 43 del d.lgs. n. 33/2013, l’attività di controllo sull’adempimento degli obblighi</w:t>
      </w:r>
      <w:r w:rsidR="00115A0D" w:rsidRPr="00B67FEC">
        <w:rPr>
          <w:rFonts w:eastAsia="MS Mincho" w:cs="Calibri"/>
          <w:lang w:eastAsia="ja-JP"/>
        </w:rPr>
        <w:t xml:space="preserve"> di pubblicazione, attraverso il</w:t>
      </w:r>
      <w:r w:rsidRPr="00B67FEC">
        <w:rPr>
          <w:rFonts w:eastAsia="MS Mincho" w:cs="Calibri"/>
          <w:lang w:eastAsia="ja-JP"/>
        </w:rPr>
        <w:t xml:space="preserve"> monitoraggio</w:t>
      </w:r>
      <w:r w:rsidR="00115A0D" w:rsidRPr="00B67FEC">
        <w:rPr>
          <w:rFonts w:eastAsia="MS Mincho" w:cs="Calibri"/>
          <w:lang w:eastAsia="ja-JP"/>
        </w:rPr>
        <w:t xml:space="preserve"> annuale </w:t>
      </w:r>
      <w:r w:rsidRPr="00B67FEC">
        <w:rPr>
          <w:rFonts w:eastAsia="MS Mincho" w:cs="Calibri"/>
          <w:lang w:eastAsia="ja-JP"/>
        </w:rPr>
        <w:t xml:space="preserve">mediante riscontro tra quanto trasmesso e pubblicato e quanto previsto nel </w:t>
      </w:r>
      <w:proofErr w:type="spellStart"/>
      <w:r w:rsidRPr="00B67FEC">
        <w:rPr>
          <w:rFonts w:eastAsia="MS Mincho" w:cs="Calibri"/>
          <w:lang w:eastAsia="ja-JP"/>
        </w:rPr>
        <w:t>PTPC</w:t>
      </w:r>
      <w:r w:rsidR="00F54AE7" w:rsidRPr="00B67FEC">
        <w:rPr>
          <w:rFonts w:eastAsia="MS Mincho" w:cs="Calibri"/>
          <w:lang w:eastAsia="ja-JP"/>
        </w:rPr>
        <w:t>eT</w:t>
      </w:r>
      <w:proofErr w:type="spellEnd"/>
      <w:r w:rsidRPr="00B67FEC">
        <w:rPr>
          <w:rFonts w:eastAsia="MS Mincho" w:cs="Calibri"/>
          <w:lang w:eastAsia="ja-JP"/>
        </w:rPr>
        <w:t>.</w:t>
      </w:r>
    </w:p>
    <w:p w:rsidR="00BD3720" w:rsidRPr="00B67FEC" w:rsidRDefault="00BD3720" w:rsidP="0049154B">
      <w:pPr>
        <w:rPr>
          <w:rFonts w:eastAsia="MS Mincho" w:cs="Calibri"/>
          <w:lang w:eastAsia="ja-JP"/>
        </w:rPr>
      </w:pPr>
      <w:bookmarkStart w:id="223" w:name="_Toc28881653"/>
    </w:p>
    <w:p w:rsidR="005C5806" w:rsidRPr="00B67FEC" w:rsidRDefault="005C5806" w:rsidP="00B264D6">
      <w:pPr>
        <w:rPr>
          <w:rFonts w:cs="Calibri"/>
          <w:b/>
        </w:rPr>
      </w:pPr>
      <w:r w:rsidRPr="00B67FEC">
        <w:rPr>
          <w:rFonts w:cs="Calibri"/>
          <w:b/>
        </w:rPr>
        <w:t>La trasparenza e la nuova disciplina della tutela dei dati personali (reg. Ue 2016/679)</w:t>
      </w:r>
      <w:bookmarkEnd w:id="223"/>
    </w:p>
    <w:p w:rsidR="005C5806" w:rsidRPr="00B67FEC" w:rsidRDefault="005C5806" w:rsidP="0049154B">
      <w:pPr>
        <w:rPr>
          <w:rFonts w:eastAsia="MS Mincho" w:cs="Calibri"/>
          <w:lang w:eastAsia="ja-JP"/>
        </w:rPr>
      </w:pPr>
      <w:r w:rsidRPr="00B67FEC">
        <w:rPr>
          <w:rFonts w:eastAsia="MS Mincho" w:cs="Calibri"/>
          <w:lang w:eastAsia="ja-JP"/>
        </w:rPr>
        <w:t>A seguito dell’applicazione dal 25 maggio 2018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(si seguito RGPD) e, dell’entrata in vigore, il 19 settembre 2018, del decreto legislativo 10 agosto 2018, n. 101 che adegua il Codice in materia di protezione dei dati personali - decreto legislativo 30 giugno 2003, n. 196 - alle disposizioni del Regolamento (UE) 2016/679, occorre chiarire la compatibilità della nuova disciplina con gli obblighi di pubblicazione previsti dal d.lgs. 33/2013.</w:t>
      </w:r>
    </w:p>
    <w:p w:rsidR="005C5806" w:rsidRPr="00B67FEC" w:rsidRDefault="005C5806" w:rsidP="0049154B">
      <w:pPr>
        <w:rPr>
          <w:rFonts w:eastAsia="MS Mincho" w:cs="Calibri"/>
          <w:lang w:eastAsia="ja-JP"/>
        </w:rPr>
      </w:pPr>
      <w:r w:rsidRPr="00B67FEC">
        <w:rPr>
          <w:rFonts w:eastAsia="MS Mincho" w:cs="Calibri"/>
          <w:lang w:eastAsia="ja-JP"/>
        </w:rPr>
        <w:t>Occorre evidenziare, al riguardo, che l’art. 2-ter del d.lgs. 196/2003, introdotto dal d.lgs. 101/2018, in continuità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«è costituita 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Il regime normativo per il trattamento di dati personali da parte dei soggetti pubblici è, quindi, rimasto sostanzialmente inalterato essendo confermato il principio che esso è consentito unicamente se ammesso da una norma di legge o, nei casi previsti dalla legge, di regolamento.</w:t>
      </w:r>
    </w:p>
    <w:p w:rsidR="005C5806" w:rsidRPr="00B67FEC" w:rsidRDefault="005C5806" w:rsidP="0049154B">
      <w:pPr>
        <w:rPr>
          <w:rFonts w:eastAsia="MS Mincho" w:cs="Calibri"/>
          <w:lang w:eastAsia="ja-JP"/>
        </w:rPr>
      </w:pPr>
      <w:r w:rsidRPr="00B67FEC">
        <w:rPr>
          <w:rFonts w:eastAsia="MS Mincho" w:cs="Calibri"/>
          <w:lang w:eastAsia="ja-JP"/>
        </w:rPr>
        <w:t xml:space="preserve">Pertanto, fermo restando il valore riconosciuto alla trasparenza, che concorre ad attuare il principio democratico e i principi costituzionali di eguaglianza, di imparzialità, buon andamento, responsabilità, efficacia ed efficienza nell’utilizzo di risorse pubbliche, integrità e lealtà nel servizio alla nazione (art. 1, d.lgs. 33/2013), occorre che le pubbliche </w:t>
      </w:r>
      <w:r w:rsidRPr="00B67FEC">
        <w:rPr>
          <w:rFonts w:eastAsia="MS Mincho" w:cs="Calibri"/>
          <w:lang w:eastAsia="ja-JP"/>
        </w:rPr>
        <w:lastRenderedPageBreak/>
        <w:t>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w:t>
      </w:r>
    </w:p>
    <w:p w:rsidR="005C5806" w:rsidRPr="00B67FEC" w:rsidRDefault="005C5806" w:rsidP="0049154B">
      <w:pPr>
        <w:rPr>
          <w:rFonts w:eastAsia="MS Mincho" w:cs="Calibri"/>
          <w:lang w:eastAsia="ja-JP"/>
        </w:rPr>
      </w:pPr>
      <w:r w:rsidRPr="00B67FEC">
        <w:rPr>
          <w:rFonts w:eastAsia="MS Mincho" w:cs="Calibri"/>
          <w:lang w:eastAsia="ja-JP"/>
        </w:rPr>
        <w:t xml:space="preserve">Il d.lgs. 33/2013 all’art. 7 bis, </w:t>
      </w:r>
      <w:proofErr w:type="spellStart"/>
      <w:r w:rsidRPr="00B67FEC">
        <w:rPr>
          <w:rFonts w:eastAsia="MS Mincho" w:cs="Calibri"/>
          <w:lang w:eastAsia="ja-JP"/>
        </w:rPr>
        <w:t>co</w:t>
      </w:r>
      <w:proofErr w:type="spellEnd"/>
      <w:r w:rsidRPr="00B67FEC">
        <w:rPr>
          <w:rFonts w:eastAsia="MS Mincho" w:cs="Calibri"/>
          <w:lang w:eastAsia="ja-JP"/>
        </w:rPr>
        <w:t>.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p>
    <w:p w:rsidR="005C5806" w:rsidRPr="00B67FEC" w:rsidRDefault="005C5806" w:rsidP="0049154B">
      <w:pPr>
        <w:rPr>
          <w:rFonts w:eastAsia="MS Mincho" w:cs="Calibri"/>
          <w:lang w:eastAsia="ja-JP"/>
        </w:rPr>
      </w:pPr>
    </w:p>
    <w:p w:rsidR="00217C77" w:rsidRPr="00B67FEC" w:rsidRDefault="00655019" w:rsidP="0049154B">
      <w:pPr>
        <w:rPr>
          <w:rFonts w:cs="Calibri"/>
          <w:b/>
          <w:szCs w:val="20"/>
        </w:rPr>
      </w:pPr>
      <w:r w:rsidRPr="00B67FEC">
        <w:rPr>
          <w:rFonts w:cs="Calibri"/>
          <w:b/>
          <w:szCs w:val="20"/>
        </w:rPr>
        <w:t>Segrate</w:t>
      </w:r>
      <w:r w:rsidR="00115A0D" w:rsidRPr="00B67FEC">
        <w:rPr>
          <w:rFonts w:cs="Calibri"/>
          <w:b/>
          <w:szCs w:val="20"/>
        </w:rPr>
        <w:t>, lì</w:t>
      </w:r>
      <w:r w:rsidR="0075603E" w:rsidRPr="00B67FEC">
        <w:rPr>
          <w:rFonts w:cs="Calibri"/>
          <w:b/>
          <w:szCs w:val="20"/>
        </w:rPr>
        <w:t xml:space="preserve"> </w:t>
      </w:r>
      <w:r w:rsidR="005F4F34">
        <w:rPr>
          <w:rFonts w:cs="Calibri"/>
          <w:b/>
          <w:szCs w:val="20"/>
        </w:rPr>
        <w:t>30/04/2022</w:t>
      </w:r>
    </w:p>
    <w:p w:rsidR="00FE0F2D" w:rsidRPr="00B67FEC" w:rsidRDefault="00655019" w:rsidP="00A762FE">
      <w:pPr>
        <w:ind w:left="6237"/>
        <w:jc w:val="center"/>
        <w:rPr>
          <w:rFonts w:cs="Calibri"/>
          <w:szCs w:val="20"/>
        </w:rPr>
      </w:pPr>
      <w:r w:rsidRPr="00B67FEC">
        <w:rPr>
          <w:rFonts w:cs="Calibri"/>
          <w:szCs w:val="20"/>
        </w:rPr>
        <w:t xml:space="preserve">Il </w:t>
      </w:r>
      <w:r w:rsidR="00FD2E3F" w:rsidRPr="00B67FEC">
        <w:rPr>
          <w:rFonts w:cs="Calibri"/>
          <w:szCs w:val="20"/>
        </w:rPr>
        <w:t>Re</w:t>
      </w:r>
      <w:r w:rsidR="002060A7" w:rsidRPr="00B67FEC">
        <w:rPr>
          <w:rFonts w:cs="Calibri"/>
          <w:szCs w:val="20"/>
        </w:rPr>
        <w:t xml:space="preserve">sponsabile </w:t>
      </w:r>
      <w:r w:rsidR="0027382D" w:rsidRPr="00B67FEC">
        <w:rPr>
          <w:rFonts w:cs="Calibri"/>
          <w:szCs w:val="20"/>
        </w:rPr>
        <w:t>per la</w:t>
      </w:r>
      <w:r w:rsidR="002060A7" w:rsidRPr="00B67FEC">
        <w:rPr>
          <w:rFonts w:cs="Calibri"/>
          <w:szCs w:val="20"/>
        </w:rPr>
        <w:t xml:space="preserve"> prevenzione della corruzione</w:t>
      </w:r>
    </w:p>
    <w:p w:rsidR="00A762FE" w:rsidRPr="00B67FEC" w:rsidRDefault="00700A69" w:rsidP="00A762FE">
      <w:pPr>
        <w:ind w:left="6237"/>
        <w:jc w:val="center"/>
        <w:rPr>
          <w:rFonts w:cs="Calibri"/>
          <w:i/>
          <w:szCs w:val="20"/>
        </w:rPr>
      </w:pPr>
      <w:r w:rsidRPr="00B67FEC">
        <w:rPr>
          <w:rFonts w:cs="Calibri"/>
          <w:i/>
          <w:szCs w:val="20"/>
        </w:rPr>
        <w:t>Dott.</w:t>
      </w:r>
      <w:r w:rsidR="00115A0D" w:rsidRPr="00B67FEC">
        <w:rPr>
          <w:rFonts w:cs="Calibri"/>
          <w:i/>
          <w:szCs w:val="20"/>
        </w:rPr>
        <w:t xml:space="preserve"> Fabio </w:t>
      </w:r>
      <w:r w:rsidR="00655019" w:rsidRPr="00B67FEC">
        <w:rPr>
          <w:rFonts w:cs="Calibri"/>
          <w:i/>
          <w:szCs w:val="20"/>
        </w:rPr>
        <w:t>Moroni</w:t>
      </w:r>
    </w:p>
    <w:p w:rsidR="00A762FE" w:rsidRPr="00B67FEC" w:rsidRDefault="00A762FE" w:rsidP="00A762FE">
      <w:pPr>
        <w:jc w:val="left"/>
        <w:rPr>
          <w:rFonts w:cs="Calibri"/>
          <w:b/>
          <w:szCs w:val="20"/>
        </w:rPr>
      </w:pPr>
      <w:r w:rsidRPr="00B67FEC">
        <w:rPr>
          <w:rFonts w:cs="Calibri"/>
          <w:b/>
          <w:szCs w:val="20"/>
        </w:rPr>
        <w:t>Allegati:</w:t>
      </w:r>
    </w:p>
    <w:p w:rsidR="00A762FE" w:rsidRPr="000D50F1" w:rsidRDefault="00B61F65" w:rsidP="00B67FEC">
      <w:pPr>
        <w:numPr>
          <w:ilvl w:val="0"/>
          <w:numId w:val="16"/>
        </w:numPr>
        <w:jc w:val="left"/>
        <w:rPr>
          <w:rFonts w:cs="Calibri"/>
          <w:bCs/>
          <w:szCs w:val="20"/>
        </w:rPr>
      </w:pPr>
      <w:r>
        <w:rPr>
          <w:rFonts w:cs="Calibri"/>
          <w:bCs/>
          <w:szCs w:val="20"/>
        </w:rPr>
        <w:t>Piano dei Rischi 2022</w:t>
      </w:r>
    </w:p>
    <w:p w:rsidR="00A762FE" w:rsidRPr="000D50F1" w:rsidRDefault="00A762FE" w:rsidP="00B67FEC">
      <w:pPr>
        <w:numPr>
          <w:ilvl w:val="0"/>
          <w:numId w:val="16"/>
        </w:numPr>
        <w:jc w:val="left"/>
        <w:rPr>
          <w:rFonts w:cs="Calibri"/>
          <w:bCs/>
          <w:szCs w:val="20"/>
        </w:rPr>
      </w:pPr>
      <w:r w:rsidRPr="000D50F1">
        <w:rPr>
          <w:rFonts w:cs="Calibri"/>
          <w:bCs/>
          <w:szCs w:val="20"/>
        </w:rPr>
        <w:t>Mappa della Trasparenza</w:t>
      </w:r>
    </w:p>
    <w:p w:rsidR="000D50F1" w:rsidRDefault="000D50F1" w:rsidP="000D50F1">
      <w:pPr>
        <w:jc w:val="left"/>
        <w:rPr>
          <w:rFonts w:cs="Tahoma"/>
          <w:b/>
          <w:szCs w:val="20"/>
        </w:rPr>
      </w:pPr>
      <w:r>
        <w:rPr>
          <w:rFonts w:cs="Tahoma"/>
          <w:b/>
          <w:szCs w:val="20"/>
        </w:rPr>
        <w:t>Modulistica operativa:</w:t>
      </w:r>
    </w:p>
    <w:p w:rsidR="000D50F1" w:rsidRPr="000D50F1" w:rsidRDefault="000D50F1" w:rsidP="000D50F1">
      <w:pPr>
        <w:numPr>
          <w:ilvl w:val="0"/>
          <w:numId w:val="16"/>
        </w:numPr>
        <w:jc w:val="left"/>
        <w:rPr>
          <w:rFonts w:cs="Tahoma"/>
          <w:bCs/>
          <w:szCs w:val="20"/>
        </w:rPr>
      </w:pPr>
      <w:r w:rsidRPr="000D50F1">
        <w:rPr>
          <w:rFonts w:cs="Tahoma"/>
          <w:bCs/>
          <w:szCs w:val="20"/>
        </w:rPr>
        <w:t xml:space="preserve">Dichiarazione assenza cause </w:t>
      </w:r>
      <w:proofErr w:type="spellStart"/>
      <w:r w:rsidRPr="000D50F1">
        <w:rPr>
          <w:rFonts w:cs="Tahoma"/>
          <w:bCs/>
          <w:szCs w:val="20"/>
        </w:rPr>
        <w:t>inconferibilità</w:t>
      </w:r>
      <w:proofErr w:type="spellEnd"/>
      <w:r w:rsidRPr="000D50F1">
        <w:rPr>
          <w:rFonts w:cs="Tahoma"/>
          <w:bCs/>
          <w:szCs w:val="20"/>
        </w:rPr>
        <w:t xml:space="preserve"> e incompatibilità (AU)</w:t>
      </w:r>
    </w:p>
    <w:p w:rsidR="000D50F1" w:rsidRPr="000D50F1" w:rsidRDefault="000D50F1" w:rsidP="000D50F1">
      <w:pPr>
        <w:numPr>
          <w:ilvl w:val="0"/>
          <w:numId w:val="16"/>
        </w:numPr>
        <w:jc w:val="left"/>
        <w:rPr>
          <w:rFonts w:cs="Tahoma"/>
          <w:bCs/>
          <w:szCs w:val="20"/>
        </w:rPr>
      </w:pPr>
      <w:r w:rsidRPr="000D50F1">
        <w:rPr>
          <w:rFonts w:cs="Tahoma"/>
          <w:bCs/>
          <w:szCs w:val="20"/>
        </w:rPr>
        <w:t xml:space="preserve">Clausola </w:t>
      </w:r>
      <w:proofErr w:type="spellStart"/>
      <w:r w:rsidRPr="000D50F1">
        <w:rPr>
          <w:rFonts w:cs="Tahoma"/>
          <w:bCs/>
          <w:szCs w:val="20"/>
        </w:rPr>
        <w:t>pantouflage</w:t>
      </w:r>
      <w:proofErr w:type="spellEnd"/>
    </w:p>
    <w:p w:rsidR="000D50F1" w:rsidRPr="000D50F1" w:rsidRDefault="000D50F1" w:rsidP="000D50F1">
      <w:pPr>
        <w:numPr>
          <w:ilvl w:val="0"/>
          <w:numId w:val="16"/>
        </w:numPr>
        <w:jc w:val="left"/>
        <w:rPr>
          <w:rFonts w:cs="Tahoma"/>
          <w:bCs/>
          <w:szCs w:val="20"/>
        </w:rPr>
      </w:pPr>
      <w:r w:rsidRPr="000D50F1">
        <w:rPr>
          <w:rFonts w:cs="Tahoma"/>
          <w:bCs/>
          <w:szCs w:val="20"/>
        </w:rPr>
        <w:t>Patto di integrità</w:t>
      </w:r>
    </w:p>
    <w:p w:rsidR="000D50F1" w:rsidRPr="000D50F1" w:rsidRDefault="000D50F1" w:rsidP="000D50F1">
      <w:pPr>
        <w:pStyle w:val="Paragrafoelenco"/>
        <w:numPr>
          <w:ilvl w:val="1"/>
          <w:numId w:val="24"/>
        </w:numPr>
        <w:jc w:val="left"/>
        <w:rPr>
          <w:rFonts w:cs="Tahoma"/>
          <w:bCs/>
          <w:szCs w:val="20"/>
        </w:rPr>
      </w:pPr>
      <w:r w:rsidRPr="000D50F1">
        <w:rPr>
          <w:rFonts w:cs="Tahoma"/>
          <w:bCs/>
          <w:szCs w:val="20"/>
        </w:rPr>
        <w:t xml:space="preserve">Dichiarazione di assenza di conflitto d’interesse – Consulenti e collaboratori </w:t>
      </w:r>
    </w:p>
    <w:p w:rsidR="000D50F1" w:rsidRPr="000D50F1" w:rsidRDefault="000D50F1" w:rsidP="000D50F1">
      <w:pPr>
        <w:pStyle w:val="Paragrafoelenco"/>
        <w:numPr>
          <w:ilvl w:val="1"/>
          <w:numId w:val="24"/>
        </w:numPr>
        <w:jc w:val="left"/>
        <w:rPr>
          <w:rFonts w:cs="Tahoma"/>
          <w:bCs/>
          <w:szCs w:val="20"/>
        </w:rPr>
      </w:pPr>
      <w:r w:rsidRPr="000D50F1">
        <w:rPr>
          <w:rFonts w:cs="Tahoma"/>
          <w:bCs/>
          <w:szCs w:val="20"/>
        </w:rPr>
        <w:t>Dichiarazione interessi finanziari e conflitto di interessi – dipendenti (per Codice di comportamento)</w:t>
      </w:r>
    </w:p>
    <w:p w:rsidR="000D50F1" w:rsidRPr="000D50F1" w:rsidRDefault="000D50F1" w:rsidP="000D50F1">
      <w:pPr>
        <w:pStyle w:val="Paragrafoelenco"/>
        <w:numPr>
          <w:ilvl w:val="1"/>
          <w:numId w:val="24"/>
        </w:numPr>
        <w:jc w:val="left"/>
        <w:rPr>
          <w:rFonts w:cs="Tahoma"/>
          <w:bCs/>
          <w:szCs w:val="20"/>
        </w:rPr>
      </w:pPr>
      <w:r w:rsidRPr="000D50F1">
        <w:rPr>
          <w:rFonts w:cs="Tahoma"/>
          <w:bCs/>
          <w:szCs w:val="20"/>
        </w:rPr>
        <w:t>Autorizzazione incarico extra-istituzionale e assenza conflitto di interessi</w:t>
      </w:r>
    </w:p>
    <w:p w:rsidR="000D50F1" w:rsidRPr="000D50F1" w:rsidRDefault="000D50F1" w:rsidP="000D50F1">
      <w:pPr>
        <w:pStyle w:val="Paragrafoelenco"/>
        <w:numPr>
          <w:ilvl w:val="0"/>
          <w:numId w:val="25"/>
        </w:numPr>
        <w:jc w:val="left"/>
        <w:rPr>
          <w:rFonts w:cs="Calibri"/>
          <w:bCs/>
          <w:szCs w:val="20"/>
        </w:rPr>
      </w:pPr>
      <w:r w:rsidRPr="000D50F1">
        <w:rPr>
          <w:rFonts w:cs="Tahoma"/>
          <w:bCs/>
          <w:szCs w:val="20"/>
        </w:rPr>
        <w:t>Dichiarazione assenza condanne per delitti contro la PA</w:t>
      </w:r>
    </w:p>
    <w:sectPr w:rsidR="000D50F1" w:rsidRPr="000D50F1" w:rsidSect="007263A4">
      <w:headerReference w:type="default" r:id="rId23"/>
      <w:footerReference w:type="default" r:id="rId24"/>
      <w:pgSz w:w="11906" w:h="16838"/>
      <w:pgMar w:top="851" w:right="1021" w:bottom="113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89" w:rsidRDefault="009D4989">
      <w:r>
        <w:separator/>
      </w:r>
    </w:p>
  </w:endnote>
  <w:endnote w:type="continuationSeparator" w:id="0">
    <w:p w:rsidR="009D4989" w:rsidRDefault="009D4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F3" w:rsidRPr="006938F7" w:rsidRDefault="00787A42" w:rsidP="007263A4">
    <w:pPr>
      <w:pStyle w:val="Pidipagina"/>
      <w:ind w:right="320"/>
      <w:jc w:val="right"/>
      <w:rPr>
        <w:rFonts w:ascii="Tahoma" w:hAnsi="Tahoma" w:cs="Tahoma"/>
        <w:sz w:val="16"/>
        <w:szCs w:val="16"/>
      </w:rPr>
    </w:pPr>
    <w:r w:rsidRPr="006938F7">
      <w:rPr>
        <w:rStyle w:val="Numeropagina"/>
        <w:rFonts w:ascii="Tahoma" w:hAnsi="Tahoma" w:cs="Tahoma"/>
        <w:sz w:val="16"/>
        <w:szCs w:val="16"/>
      </w:rPr>
      <w:fldChar w:fldCharType="begin"/>
    </w:r>
    <w:r w:rsidR="00DA60F3" w:rsidRPr="006938F7">
      <w:rPr>
        <w:rStyle w:val="Numeropagina"/>
        <w:rFonts w:ascii="Tahoma" w:hAnsi="Tahoma" w:cs="Tahoma"/>
        <w:sz w:val="16"/>
        <w:szCs w:val="16"/>
      </w:rPr>
      <w:instrText xml:space="preserve"> PAGE </w:instrText>
    </w:r>
    <w:r w:rsidRPr="006938F7">
      <w:rPr>
        <w:rStyle w:val="Numeropagina"/>
        <w:rFonts w:ascii="Tahoma" w:hAnsi="Tahoma" w:cs="Tahoma"/>
        <w:sz w:val="16"/>
        <w:szCs w:val="16"/>
      </w:rPr>
      <w:fldChar w:fldCharType="separate"/>
    </w:r>
    <w:r w:rsidR="0088239C">
      <w:rPr>
        <w:rStyle w:val="Numeropagina"/>
        <w:rFonts w:ascii="Tahoma" w:hAnsi="Tahoma" w:cs="Tahoma"/>
        <w:noProof/>
        <w:sz w:val="16"/>
        <w:szCs w:val="16"/>
      </w:rPr>
      <w:t>19</w:t>
    </w:r>
    <w:r w:rsidRPr="006938F7">
      <w:rPr>
        <w:rStyle w:val="Numeropagina"/>
        <w:rFonts w:ascii="Tahoma" w:hAnsi="Tahoma" w:cs="Tahoma"/>
        <w:sz w:val="16"/>
        <w:szCs w:val="16"/>
      </w:rPr>
      <w:fldChar w:fldCharType="end"/>
    </w:r>
    <w:r w:rsidR="00DA60F3">
      <w:rPr>
        <w:rStyle w:val="Numeropagina"/>
        <w:rFonts w:ascii="Tahoma" w:hAnsi="Tahoma" w:cs="Tahoma"/>
        <w:sz w:val="16"/>
        <w:szCs w:val="16"/>
      </w:rPr>
      <w:t xml:space="preserve"> di </w:t>
    </w:r>
    <w:r w:rsidRPr="006938F7">
      <w:rPr>
        <w:rStyle w:val="Numeropagina"/>
        <w:rFonts w:ascii="Tahoma" w:hAnsi="Tahoma" w:cs="Tahoma"/>
        <w:sz w:val="16"/>
        <w:szCs w:val="16"/>
      </w:rPr>
      <w:fldChar w:fldCharType="begin"/>
    </w:r>
    <w:r w:rsidR="00DA60F3" w:rsidRPr="006938F7">
      <w:rPr>
        <w:rStyle w:val="Numeropagina"/>
        <w:rFonts w:ascii="Tahoma" w:hAnsi="Tahoma" w:cs="Tahoma"/>
        <w:sz w:val="16"/>
        <w:szCs w:val="16"/>
      </w:rPr>
      <w:instrText xml:space="preserve"> NUMPAGES </w:instrText>
    </w:r>
    <w:r w:rsidRPr="006938F7">
      <w:rPr>
        <w:rStyle w:val="Numeropagina"/>
        <w:rFonts w:ascii="Tahoma" w:hAnsi="Tahoma" w:cs="Tahoma"/>
        <w:sz w:val="16"/>
        <w:szCs w:val="16"/>
      </w:rPr>
      <w:fldChar w:fldCharType="separate"/>
    </w:r>
    <w:r w:rsidR="0088239C">
      <w:rPr>
        <w:rStyle w:val="Numeropagina"/>
        <w:rFonts w:ascii="Tahoma" w:hAnsi="Tahoma" w:cs="Tahoma"/>
        <w:noProof/>
        <w:sz w:val="16"/>
        <w:szCs w:val="16"/>
      </w:rPr>
      <w:t>46</w:t>
    </w:r>
    <w:r w:rsidRPr="006938F7">
      <w:rPr>
        <w:rStyle w:val="Numeropagina"/>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89" w:rsidRDefault="009D4989">
      <w:r>
        <w:separator/>
      </w:r>
    </w:p>
  </w:footnote>
  <w:footnote w:type="continuationSeparator" w:id="0">
    <w:p w:rsidR="009D4989" w:rsidRDefault="009D4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F3" w:rsidRDefault="00DA60F3">
    <w:pPr>
      <w:pStyle w:val="Intestazione"/>
      <w:rPr>
        <w:rFonts w:ascii="Tahoma" w:hAnsi="Tahoma" w:cs="Tahoma"/>
        <w:szCs w:val="20"/>
      </w:rPr>
    </w:pPr>
  </w:p>
  <w:p w:rsidR="00DA60F3" w:rsidRPr="006938F7" w:rsidRDefault="00DA60F3">
    <w:pPr>
      <w:pStyle w:val="Intestazione"/>
      <w:rPr>
        <w:rFonts w:ascii="Tahoma" w:hAnsi="Tahoma" w:cs="Tahoma"/>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C4E"/>
    <w:multiLevelType w:val="hybridMultilevel"/>
    <w:tmpl w:val="A6BE5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92551D"/>
    <w:multiLevelType w:val="hybridMultilevel"/>
    <w:tmpl w:val="0BDC5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9E1489"/>
    <w:multiLevelType w:val="hybridMultilevel"/>
    <w:tmpl w:val="D56624EE"/>
    <w:lvl w:ilvl="0" w:tplc="0410000F">
      <w:start w:val="1"/>
      <w:numFmt w:val="decimal"/>
      <w:lvlText w:val="%1."/>
      <w:lvlJc w:val="left"/>
      <w:pPr>
        <w:ind w:left="720" w:hanging="360"/>
      </w:pPr>
    </w:lvl>
    <w:lvl w:ilvl="1" w:tplc="465A604E">
      <w:numFmt w:val="bullet"/>
      <w:lvlText w:val="-"/>
      <w:lvlJc w:val="left"/>
      <w:pPr>
        <w:ind w:left="1788" w:hanging="708"/>
      </w:pPr>
      <w:rPr>
        <w:rFonts w:ascii="Verdana" w:eastAsia="Times New Roman" w:hAnsi="Verdana" w:cs="Tahoma" w:hint="default"/>
      </w:rPr>
    </w:lvl>
    <w:lvl w:ilvl="2" w:tplc="03B0ED26">
      <w:start w:val="1"/>
      <w:numFmt w:val="upperLetter"/>
      <w:lvlText w:val="%3."/>
      <w:lvlJc w:val="left"/>
      <w:pPr>
        <w:ind w:left="2410" w:hanging="43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2F5D12"/>
    <w:multiLevelType w:val="hybridMultilevel"/>
    <w:tmpl w:val="73086668"/>
    <w:lvl w:ilvl="0" w:tplc="D5361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CE4EB9"/>
    <w:multiLevelType w:val="hybridMultilevel"/>
    <w:tmpl w:val="4DEA68C4"/>
    <w:lvl w:ilvl="0" w:tplc="0410000F">
      <w:start w:val="1"/>
      <w:numFmt w:val="decimal"/>
      <w:lvlText w:val="%1."/>
      <w:lvlJc w:val="left"/>
      <w:pPr>
        <w:ind w:left="720" w:hanging="360"/>
      </w:pPr>
    </w:lvl>
    <w:lvl w:ilvl="1" w:tplc="99F60BB6">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26216D"/>
    <w:multiLevelType w:val="hybridMultilevel"/>
    <w:tmpl w:val="F9700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876371"/>
    <w:multiLevelType w:val="hybridMultilevel"/>
    <w:tmpl w:val="7FE6379C"/>
    <w:lvl w:ilvl="0" w:tplc="D5361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EC6655"/>
    <w:multiLevelType w:val="multilevel"/>
    <w:tmpl w:val="149CFC2A"/>
    <w:lvl w:ilvl="0">
      <w:start w:val="6"/>
      <w:numFmt w:val="decimal"/>
      <w:lvlText w:val="%1."/>
      <w:lvlJc w:val="left"/>
      <w:pPr>
        <w:ind w:left="460" w:hanging="4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2B936839"/>
    <w:multiLevelType w:val="hybridMultilevel"/>
    <w:tmpl w:val="300C82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7D05D4"/>
    <w:multiLevelType w:val="hybridMultilevel"/>
    <w:tmpl w:val="9392E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074C35"/>
    <w:multiLevelType w:val="hybridMultilevel"/>
    <w:tmpl w:val="9C62E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033D5A"/>
    <w:multiLevelType w:val="hybridMultilevel"/>
    <w:tmpl w:val="B646208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0003B9"/>
    <w:multiLevelType w:val="hybridMultilevel"/>
    <w:tmpl w:val="060A2D68"/>
    <w:lvl w:ilvl="0" w:tplc="D5361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3C74B4"/>
    <w:multiLevelType w:val="hybridMultilevel"/>
    <w:tmpl w:val="C340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826A88"/>
    <w:multiLevelType w:val="hybridMultilevel"/>
    <w:tmpl w:val="AD308F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37D4696"/>
    <w:multiLevelType w:val="hybridMultilevel"/>
    <w:tmpl w:val="3246F3BA"/>
    <w:lvl w:ilvl="0" w:tplc="D5361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1E2853"/>
    <w:multiLevelType w:val="hybridMultilevel"/>
    <w:tmpl w:val="53E84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153F5B"/>
    <w:multiLevelType w:val="hybridMultilevel"/>
    <w:tmpl w:val="F6163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26E7E59"/>
    <w:multiLevelType w:val="hybridMultilevel"/>
    <w:tmpl w:val="E732F01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7692DD2"/>
    <w:multiLevelType w:val="hybridMultilevel"/>
    <w:tmpl w:val="3DFA0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A505C9"/>
    <w:multiLevelType w:val="hybridMultilevel"/>
    <w:tmpl w:val="BBA8B354"/>
    <w:lvl w:ilvl="0" w:tplc="2C925342">
      <w:start w:val="1"/>
      <w:numFmt w:val="upperLetter"/>
      <w:lvlText w:val="%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5D1E0E7B"/>
    <w:multiLevelType w:val="hybridMultilevel"/>
    <w:tmpl w:val="92ECD6E2"/>
    <w:lvl w:ilvl="0" w:tplc="2326B4EE">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A06980"/>
    <w:multiLevelType w:val="hybridMultilevel"/>
    <w:tmpl w:val="40346B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2400DC6"/>
    <w:multiLevelType w:val="hybridMultilevel"/>
    <w:tmpl w:val="44C0C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3A7157"/>
    <w:multiLevelType w:val="hybridMultilevel"/>
    <w:tmpl w:val="F9700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60605A6"/>
    <w:multiLevelType w:val="hybridMultilevel"/>
    <w:tmpl w:val="DEDC5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5373F9"/>
    <w:multiLevelType w:val="hybridMultilevel"/>
    <w:tmpl w:val="CC72C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0B031D"/>
    <w:multiLevelType w:val="multilevel"/>
    <w:tmpl w:val="B5B0A5FC"/>
    <w:styleLink w:val="Stile1"/>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1"/>
      <w:numFmt w:val="none"/>
      <w:lvlText w:val="3.5.2."/>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28">
    <w:nsid w:val="7E3E731A"/>
    <w:multiLevelType w:val="hybridMultilevel"/>
    <w:tmpl w:val="DE807BB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2C7C7A"/>
    <w:multiLevelType w:val="hybridMultilevel"/>
    <w:tmpl w:val="5AEA4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1"/>
  </w:num>
  <w:num w:numId="4">
    <w:abstractNumId w:val="4"/>
  </w:num>
  <w:num w:numId="5">
    <w:abstractNumId w:val="2"/>
  </w:num>
  <w:num w:numId="6">
    <w:abstractNumId w:val="28"/>
  </w:num>
  <w:num w:numId="7">
    <w:abstractNumId w:val="17"/>
  </w:num>
  <w:num w:numId="8">
    <w:abstractNumId w:val="26"/>
  </w:num>
  <w:num w:numId="9">
    <w:abstractNumId w:val="0"/>
  </w:num>
  <w:num w:numId="10">
    <w:abstractNumId w:val="1"/>
  </w:num>
  <w:num w:numId="11">
    <w:abstractNumId w:val="22"/>
  </w:num>
  <w:num w:numId="12">
    <w:abstractNumId w:val="16"/>
  </w:num>
  <w:num w:numId="13">
    <w:abstractNumId w:val="23"/>
  </w:num>
  <w:num w:numId="14">
    <w:abstractNumId w:val="29"/>
  </w:num>
  <w:num w:numId="15">
    <w:abstractNumId w:val="25"/>
  </w:num>
  <w:num w:numId="16">
    <w:abstractNumId w:val="14"/>
  </w:num>
  <w:num w:numId="17">
    <w:abstractNumId w:val="19"/>
  </w:num>
  <w:num w:numId="18">
    <w:abstractNumId w:val="9"/>
  </w:num>
  <w:num w:numId="19">
    <w:abstractNumId w:val="5"/>
  </w:num>
  <w:num w:numId="20">
    <w:abstractNumId w:val="10"/>
  </w:num>
  <w:num w:numId="21">
    <w:abstractNumId w:val="8"/>
  </w:num>
  <w:num w:numId="22">
    <w:abstractNumId w:val="18"/>
  </w:num>
  <w:num w:numId="23">
    <w:abstractNumId w:val="20"/>
  </w:num>
  <w:num w:numId="24">
    <w:abstractNumId w:val="7"/>
  </w:num>
  <w:num w:numId="25">
    <w:abstractNumId w:val="21"/>
  </w:num>
  <w:num w:numId="26">
    <w:abstractNumId w:val="15"/>
  </w:num>
  <w:num w:numId="27">
    <w:abstractNumId w:val="13"/>
  </w:num>
  <w:num w:numId="28">
    <w:abstractNumId w:val="3"/>
  </w:num>
  <w:num w:numId="29">
    <w:abstractNumId w:val="12"/>
  </w:num>
  <w:num w:numId="30">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6D5392"/>
    <w:rsid w:val="00001BDD"/>
    <w:rsid w:val="00001F99"/>
    <w:rsid w:val="00004348"/>
    <w:rsid w:val="00005E0D"/>
    <w:rsid w:val="0000746F"/>
    <w:rsid w:val="000121BA"/>
    <w:rsid w:val="00012F4D"/>
    <w:rsid w:val="000145CC"/>
    <w:rsid w:val="00017E52"/>
    <w:rsid w:val="00024F06"/>
    <w:rsid w:val="0002639B"/>
    <w:rsid w:val="00030C3C"/>
    <w:rsid w:val="00034E20"/>
    <w:rsid w:val="0003575C"/>
    <w:rsid w:val="000436F3"/>
    <w:rsid w:val="000437F3"/>
    <w:rsid w:val="000457B3"/>
    <w:rsid w:val="000473F6"/>
    <w:rsid w:val="00052A2C"/>
    <w:rsid w:val="000560E4"/>
    <w:rsid w:val="00064581"/>
    <w:rsid w:val="00071AA3"/>
    <w:rsid w:val="00073F1E"/>
    <w:rsid w:val="00074E26"/>
    <w:rsid w:val="00076C1D"/>
    <w:rsid w:val="00081638"/>
    <w:rsid w:val="0008243F"/>
    <w:rsid w:val="000937A3"/>
    <w:rsid w:val="00095627"/>
    <w:rsid w:val="00095BC1"/>
    <w:rsid w:val="00097368"/>
    <w:rsid w:val="000A0623"/>
    <w:rsid w:val="000A22FC"/>
    <w:rsid w:val="000A2390"/>
    <w:rsid w:val="000A2EB6"/>
    <w:rsid w:val="000A4395"/>
    <w:rsid w:val="000A5164"/>
    <w:rsid w:val="000A62D5"/>
    <w:rsid w:val="000B0611"/>
    <w:rsid w:val="000B0C2B"/>
    <w:rsid w:val="000B21F2"/>
    <w:rsid w:val="000B301B"/>
    <w:rsid w:val="000B76B1"/>
    <w:rsid w:val="000C119B"/>
    <w:rsid w:val="000C4AF6"/>
    <w:rsid w:val="000D078D"/>
    <w:rsid w:val="000D1299"/>
    <w:rsid w:val="000D50F1"/>
    <w:rsid w:val="000D5177"/>
    <w:rsid w:val="000D6D04"/>
    <w:rsid w:val="000E0984"/>
    <w:rsid w:val="000E2261"/>
    <w:rsid w:val="000E49C8"/>
    <w:rsid w:val="000E4F44"/>
    <w:rsid w:val="000E5FF9"/>
    <w:rsid w:val="000F256D"/>
    <w:rsid w:val="000F6D08"/>
    <w:rsid w:val="001002F7"/>
    <w:rsid w:val="00100A94"/>
    <w:rsid w:val="001015F8"/>
    <w:rsid w:val="001018F6"/>
    <w:rsid w:val="00102652"/>
    <w:rsid w:val="001027A5"/>
    <w:rsid w:val="00102D4B"/>
    <w:rsid w:val="001037AA"/>
    <w:rsid w:val="0010618E"/>
    <w:rsid w:val="00107BE8"/>
    <w:rsid w:val="00110F5F"/>
    <w:rsid w:val="001121E9"/>
    <w:rsid w:val="00115A0D"/>
    <w:rsid w:val="001169FF"/>
    <w:rsid w:val="00121B8C"/>
    <w:rsid w:val="0012644F"/>
    <w:rsid w:val="00133DA3"/>
    <w:rsid w:val="00133ED3"/>
    <w:rsid w:val="00142B21"/>
    <w:rsid w:val="00143056"/>
    <w:rsid w:val="001438FD"/>
    <w:rsid w:val="001525DA"/>
    <w:rsid w:val="00152DA6"/>
    <w:rsid w:val="00154E5D"/>
    <w:rsid w:val="00155FF3"/>
    <w:rsid w:val="00156F62"/>
    <w:rsid w:val="00156FB0"/>
    <w:rsid w:val="00157269"/>
    <w:rsid w:val="001575F7"/>
    <w:rsid w:val="001624E8"/>
    <w:rsid w:val="00164E51"/>
    <w:rsid w:val="00165660"/>
    <w:rsid w:val="00165C23"/>
    <w:rsid w:val="0016621D"/>
    <w:rsid w:val="0016693A"/>
    <w:rsid w:val="001706C4"/>
    <w:rsid w:val="00180BF3"/>
    <w:rsid w:val="00182B90"/>
    <w:rsid w:val="00183CFD"/>
    <w:rsid w:val="00184CBF"/>
    <w:rsid w:val="00186F36"/>
    <w:rsid w:val="00187ED9"/>
    <w:rsid w:val="00192007"/>
    <w:rsid w:val="00192B4D"/>
    <w:rsid w:val="00197D9A"/>
    <w:rsid w:val="001A1A48"/>
    <w:rsid w:val="001A4092"/>
    <w:rsid w:val="001A49D3"/>
    <w:rsid w:val="001A53AF"/>
    <w:rsid w:val="001A589E"/>
    <w:rsid w:val="001B02DE"/>
    <w:rsid w:val="001B0650"/>
    <w:rsid w:val="001B7806"/>
    <w:rsid w:val="001C2328"/>
    <w:rsid w:val="001C26CB"/>
    <w:rsid w:val="001C2955"/>
    <w:rsid w:val="001D2B64"/>
    <w:rsid w:val="001D3E81"/>
    <w:rsid w:val="001E3BF0"/>
    <w:rsid w:val="001E7795"/>
    <w:rsid w:val="001F01B9"/>
    <w:rsid w:val="001F1151"/>
    <w:rsid w:val="001F1206"/>
    <w:rsid w:val="001F17AC"/>
    <w:rsid w:val="001F279F"/>
    <w:rsid w:val="001F3427"/>
    <w:rsid w:val="001F6361"/>
    <w:rsid w:val="001F70E9"/>
    <w:rsid w:val="00200E28"/>
    <w:rsid w:val="002021DD"/>
    <w:rsid w:val="00202DB8"/>
    <w:rsid w:val="00203616"/>
    <w:rsid w:val="0020510A"/>
    <w:rsid w:val="002060A7"/>
    <w:rsid w:val="002061B8"/>
    <w:rsid w:val="00213C86"/>
    <w:rsid w:val="00216F5D"/>
    <w:rsid w:val="00217C77"/>
    <w:rsid w:val="00220265"/>
    <w:rsid w:val="0022148F"/>
    <w:rsid w:val="00221498"/>
    <w:rsid w:val="0022229D"/>
    <w:rsid w:val="00223408"/>
    <w:rsid w:val="0022546C"/>
    <w:rsid w:val="0022583B"/>
    <w:rsid w:val="00225AE5"/>
    <w:rsid w:val="0023200C"/>
    <w:rsid w:val="00232490"/>
    <w:rsid w:val="00237BB2"/>
    <w:rsid w:val="00241ACC"/>
    <w:rsid w:val="00242283"/>
    <w:rsid w:val="00244AD6"/>
    <w:rsid w:val="00247BA1"/>
    <w:rsid w:val="002530B1"/>
    <w:rsid w:val="00253CB2"/>
    <w:rsid w:val="00257907"/>
    <w:rsid w:val="00260040"/>
    <w:rsid w:val="0026037C"/>
    <w:rsid w:val="0026343F"/>
    <w:rsid w:val="00263A91"/>
    <w:rsid w:val="00263BF6"/>
    <w:rsid w:val="00264CBB"/>
    <w:rsid w:val="002674F0"/>
    <w:rsid w:val="00267758"/>
    <w:rsid w:val="002721C5"/>
    <w:rsid w:val="00272639"/>
    <w:rsid w:val="0027276F"/>
    <w:rsid w:val="0027382D"/>
    <w:rsid w:val="002763B7"/>
    <w:rsid w:val="0027726A"/>
    <w:rsid w:val="002832F3"/>
    <w:rsid w:val="00283DCF"/>
    <w:rsid w:val="002860DF"/>
    <w:rsid w:val="002906F9"/>
    <w:rsid w:val="002936D0"/>
    <w:rsid w:val="002937A6"/>
    <w:rsid w:val="002967BE"/>
    <w:rsid w:val="002A1769"/>
    <w:rsid w:val="002A4540"/>
    <w:rsid w:val="002A680F"/>
    <w:rsid w:val="002B0316"/>
    <w:rsid w:val="002B1262"/>
    <w:rsid w:val="002B55F3"/>
    <w:rsid w:val="002C373A"/>
    <w:rsid w:val="002C3793"/>
    <w:rsid w:val="002C55DE"/>
    <w:rsid w:val="002C5ACC"/>
    <w:rsid w:val="002D2A52"/>
    <w:rsid w:val="002D4444"/>
    <w:rsid w:val="002D7CC7"/>
    <w:rsid w:val="002E01AD"/>
    <w:rsid w:val="002E2CBC"/>
    <w:rsid w:val="002E758B"/>
    <w:rsid w:val="002E7E32"/>
    <w:rsid w:val="002F067E"/>
    <w:rsid w:val="002F1957"/>
    <w:rsid w:val="002F1DC9"/>
    <w:rsid w:val="003102B6"/>
    <w:rsid w:val="003115B3"/>
    <w:rsid w:val="00313B1C"/>
    <w:rsid w:val="00313E49"/>
    <w:rsid w:val="00314AF5"/>
    <w:rsid w:val="00315A43"/>
    <w:rsid w:val="003200AE"/>
    <w:rsid w:val="00320DC9"/>
    <w:rsid w:val="00323A9B"/>
    <w:rsid w:val="003256F2"/>
    <w:rsid w:val="00326961"/>
    <w:rsid w:val="003315F6"/>
    <w:rsid w:val="00341F18"/>
    <w:rsid w:val="00342C30"/>
    <w:rsid w:val="003445DA"/>
    <w:rsid w:val="00346465"/>
    <w:rsid w:val="0034687D"/>
    <w:rsid w:val="003469F0"/>
    <w:rsid w:val="003514DD"/>
    <w:rsid w:val="00351F2F"/>
    <w:rsid w:val="00364296"/>
    <w:rsid w:val="003674FA"/>
    <w:rsid w:val="00367BB9"/>
    <w:rsid w:val="00371161"/>
    <w:rsid w:val="003716A4"/>
    <w:rsid w:val="00371DD8"/>
    <w:rsid w:val="00372C49"/>
    <w:rsid w:val="00373090"/>
    <w:rsid w:val="003740F3"/>
    <w:rsid w:val="00374C37"/>
    <w:rsid w:val="00376EE4"/>
    <w:rsid w:val="003773D7"/>
    <w:rsid w:val="00387052"/>
    <w:rsid w:val="00391379"/>
    <w:rsid w:val="00391678"/>
    <w:rsid w:val="00391BAE"/>
    <w:rsid w:val="00394F06"/>
    <w:rsid w:val="00395BBF"/>
    <w:rsid w:val="003967A0"/>
    <w:rsid w:val="003975B9"/>
    <w:rsid w:val="003A0929"/>
    <w:rsid w:val="003A4270"/>
    <w:rsid w:val="003B0201"/>
    <w:rsid w:val="003B3DFE"/>
    <w:rsid w:val="003B3F2D"/>
    <w:rsid w:val="003B4141"/>
    <w:rsid w:val="003C220A"/>
    <w:rsid w:val="003C51B1"/>
    <w:rsid w:val="003C616D"/>
    <w:rsid w:val="003C6E14"/>
    <w:rsid w:val="003C76F7"/>
    <w:rsid w:val="003C79DC"/>
    <w:rsid w:val="003D0562"/>
    <w:rsid w:val="003D0CA0"/>
    <w:rsid w:val="003D16D5"/>
    <w:rsid w:val="003D27FE"/>
    <w:rsid w:val="003D30B0"/>
    <w:rsid w:val="003D3C46"/>
    <w:rsid w:val="003D49CF"/>
    <w:rsid w:val="003D5747"/>
    <w:rsid w:val="003D6AC1"/>
    <w:rsid w:val="003D6F27"/>
    <w:rsid w:val="003D75F5"/>
    <w:rsid w:val="003E0A32"/>
    <w:rsid w:val="003E1A58"/>
    <w:rsid w:val="003E35D9"/>
    <w:rsid w:val="003E3CBA"/>
    <w:rsid w:val="003E5A0D"/>
    <w:rsid w:val="003F0435"/>
    <w:rsid w:val="003F437C"/>
    <w:rsid w:val="003F542A"/>
    <w:rsid w:val="003F5C20"/>
    <w:rsid w:val="003F7A0E"/>
    <w:rsid w:val="00401DD4"/>
    <w:rsid w:val="00411957"/>
    <w:rsid w:val="00415ABB"/>
    <w:rsid w:val="00417D13"/>
    <w:rsid w:val="00420E6D"/>
    <w:rsid w:val="0042108A"/>
    <w:rsid w:val="0042385B"/>
    <w:rsid w:val="004309F1"/>
    <w:rsid w:val="00432FAC"/>
    <w:rsid w:val="004330C3"/>
    <w:rsid w:val="00433135"/>
    <w:rsid w:val="004333A0"/>
    <w:rsid w:val="00433A2D"/>
    <w:rsid w:val="0043406D"/>
    <w:rsid w:val="0043541E"/>
    <w:rsid w:val="00435FE6"/>
    <w:rsid w:val="00441C2B"/>
    <w:rsid w:val="00441D73"/>
    <w:rsid w:val="00446810"/>
    <w:rsid w:val="00452208"/>
    <w:rsid w:val="004552E5"/>
    <w:rsid w:val="00455913"/>
    <w:rsid w:val="00457107"/>
    <w:rsid w:val="00460068"/>
    <w:rsid w:val="00460A62"/>
    <w:rsid w:val="004614D4"/>
    <w:rsid w:val="0046635B"/>
    <w:rsid w:val="00466D9D"/>
    <w:rsid w:val="00472EB6"/>
    <w:rsid w:val="00473421"/>
    <w:rsid w:val="004747C8"/>
    <w:rsid w:val="00474C73"/>
    <w:rsid w:val="00476595"/>
    <w:rsid w:val="00476620"/>
    <w:rsid w:val="00481BA0"/>
    <w:rsid w:val="004847E7"/>
    <w:rsid w:val="00484CA2"/>
    <w:rsid w:val="00485489"/>
    <w:rsid w:val="0049154B"/>
    <w:rsid w:val="00492920"/>
    <w:rsid w:val="00494211"/>
    <w:rsid w:val="004A039E"/>
    <w:rsid w:val="004A05F3"/>
    <w:rsid w:val="004A0DCA"/>
    <w:rsid w:val="004A514A"/>
    <w:rsid w:val="004A536A"/>
    <w:rsid w:val="004A7077"/>
    <w:rsid w:val="004B0360"/>
    <w:rsid w:val="004B1FA3"/>
    <w:rsid w:val="004B223A"/>
    <w:rsid w:val="004B42E6"/>
    <w:rsid w:val="004B50FB"/>
    <w:rsid w:val="004B6AE3"/>
    <w:rsid w:val="004C01C9"/>
    <w:rsid w:val="004C234E"/>
    <w:rsid w:val="004C35F1"/>
    <w:rsid w:val="004C7566"/>
    <w:rsid w:val="004C7B45"/>
    <w:rsid w:val="004D07E8"/>
    <w:rsid w:val="004D10B9"/>
    <w:rsid w:val="004D1112"/>
    <w:rsid w:val="004D24CB"/>
    <w:rsid w:val="004E2195"/>
    <w:rsid w:val="004E5DDB"/>
    <w:rsid w:val="004E614E"/>
    <w:rsid w:val="004E7988"/>
    <w:rsid w:val="004F0CDE"/>
    <w:rsid w:val="004F162F"/>
    <w:rsid w:val="004F22F6"/>
    <w:rsid w:val="004F38A9"/>
    <w:rsid w:val="004F498D"/>
    <w:rsid w:val="0050186E"/>
    <w:rsid w:val="00502B36"/>
    <w:rsid w:val="00506A6B"/>
    <w:rsid w:val="00512191"/>
    <w:rsid w:val="005160FD"/>
    <w:rsid w:val="00517DB8"/>
    <w:rsid w:val="00520C5E"/>
    <w:rsid w:val="00522CD3"/>
    <w:rsid w:val="00523CFA"/>
    <w:rsid w:val="00524B70"/>
    <w:rsid w:val="0053367D"/>
    <w:rsid w:val="0053372E"/>
    <w:rsid w:val="00543D44"/>
    <w:rsid w:val="005443B6"/>
    <w:rsid w:val="00545AA1"/>
    <w:rsid w:val="00551007"/>
    <w:rsid w:val="00556651"/>
    <w:rsid w:val="005574B7"/>
    <w:rsid w:val="00562286"/>
    <w:rsid w:val="00563407"/>
    <w:rsid w:val="005634AC"/>
    <w:rsid w:val="00563DF9"/>
    <w:rsid w:val="005650B9"/>
    <w:rsid w:val="005667CA"/>
    <w:rsid w:val="00571093"/>
    <w:rsid w:val="00571D63"/>
    <w:rsid w:val="00580762"/>
    <w:rsid w:val="00580A5F"/>
    <w:rsid w:val="00581530"/>
    <w:rsid w:val="00584264"/>
    <w:rsid w:val="00584D08"/>
    <w:rsid w:val="00585206"/>
    <w:rsid w:val="00592563"/>
    <w:rsid w:val="00592CC9"/>
    <w:rsid w:val="005A1A45"/>
    <w:rsid w:val="005A7810"/>
    <w:rsid w:val="005B5DDD"/>
    <w:rsid w:val="005C0A6A"/>
    <w:rsid w:val="005C0E63"/>
    <w:rsid w:val="005C273B"/>
    <w:rsid w:val="005C3FA9"/>
    <w:rsid w:val="005C5806"/>
    <w:rsid w:val="005C74C2"/>
    <w:rsid w:val="005D0B91"/>
    <w:rsid w:val="005D4812"/>
    <w:rsid w:val="005D6F9B"/>
    <w:rsid w:val="005D7FDB"/>
    <w:rsid w:val="005E03D5"/>
    <w:rsid w:val="005E3784"/>
    <w:rsid w:val="005E6587"/>
    <w:rsid w:val="005E6EC5"/>
    <w:rsid w:val="005E75DF"/>
    <w:rsid w:val="005F0AB7"/>
    <w:rsid w:val="005F2C2A"/>
    <w:rsid w:val="005F35D1"/>
    <w:rsid w:val="005F4038"/>
    <w:rsid w:val="005F4F34"/>
    <w:rsid w:val="005F5A5D"/>
    <w:rsid w:val="006003DC"/>
    <w:rsid w:val="00600F33"/>
    <w:rsid w:val="0060425F"/>
    <w:rsid w:val="00605B2B"/>
    <w:rsid w:val="00606F9D"/>
    <w:rsid w:val="00612AE8"/>
    <w:rsid w:val="00612C21"/>
    <w:rsid w:val="006134BC"/>
    <w:rsid w:val="00615FA8"/>
    <w:rsid w:val="00621E66"/>
    <w:rsid w:val="006239E3"/>
    <w:rsid w:val="00626640"/>
    <w:rsid w:val="006279B6"/>
    <w:rsid w:val="00630950"/>
    <w:rsid w:val="006331E9"/>
    <w:rsid w:val="00640334"/>
    <w:rsid w:val="00644F63"/>
    <w:rsid w:val="00651535"/>
    <w:rsid w:val="0065223E"/>
    <w:rsid w:val="00652872"/>
    <w:rsid w:val="0065392A"/>
    <w:rsid w:val="00655019"/>
    <w:rsid w:val="00657A71"/>
    <w:rsid w:val="00665223"/>
    <w:rsid w:val="0066541D"/>
    <w:rsid w:val="0066726B"/>
    <w:rsid w:val="006706B0"/>
    <w:rsid w:val="00675334"/>
    <w:rsid w:val="00676B55"/>
    <w:rsid w:val="006775DE"/>
    <w:rsid w:val="0067791D"/>
    <w:rsid w:val="00680044"/>
    <w:rsid w:val="00680698"/>
    <w:rsid w:val="00681543"/>
    <w:rsid w:val="0068352C"/>
    <w:rsid w:val="0068421B"/>
    <w:rsid w:val="006849ED"/>
    <w:rsid w:val="0068709B"/>
    <w:rsid w:val="0069048D"/>
    <w:rsid w:val="00692178"/>
    <w:rsid w:val="006938F7"/>
    <w:rsid w:val="00694035"/>
    <w:rsid w:val="00694588"/>
    <w:rsid w:val="00697218"/>
    <w:rsid w:val="006A6F96"/>
    <w:rsid w:val="006B31FE"/>
    <w:rsid w:val="006B34CA"/>
    <w:rsid w:val="006B4A41"/>
    <w:rsid w:val="006B4C1B"/>
    <w:rsid w:val="006B4DE8"/>
    <w:rsid w:val="006C1A37"/>
    <w:rsid w:val="006C1DA6"/>
    <w:rsid w:val="006C2C03"/>
    <w:rsid w:val="006C3325"/>
    <w:rsid w:val="006C668B"/>
    <w:rsid w:val="006C79DF"/>
    <w:rsid w:val="006D0104"/>
    <w:rsid w:val="006D5227"/>
    <w:rsid w:val="006D5392"/>
    <w:rsid w:val="006E0848"/>
    <w:rsid w:val="006E5C79"/>
    <w:rsid w:val="006F09CD"/>
    <w:rsid w:val="006F23B6"/>
    <w:rsid w:val="006F2543"/>
    <w:rsid w:val="006F3FD1"/>
    <w:rsid w:val="006F40E0"/>
    <w:rsid w:val="006F4B7A"/>
    <w:rsid w:val="006F5EF7"/>
    <w:rsid w:val="007006A1"/>
    <w:rsid w:val="00700A69"/>
    <w:rsid w:val="00703680"/>
    <w:rsid w:val="00704F29"/>
    <w:rsid w:val="00710940"/>
    <w:rsid w:val="00711558"/>
    <w:rsid w:val="007122D5"/>
    <w:rsid w:val="0071291A"/>
    <w:rsid w:val="00713C18"/>
    <w:rsid w:val="00715912"/>
    <w:rsid w:val="007168E3"/>
    <w:rsid w:val="007224B5"/>
    <w:rsid w:val="007229BA"/>
    <w:rsid w:val="00723447"/>
    <w:rsid w:val="00725856"/>
    <w:rsid w:val="007263A4"/>
    <w:rsid w:val="007307DF"/>
    <w:rsid w:val="00732861"/>
    <w:rsid w:val="00737034"/>
    <w:rsid w:val="00745316"/>
    <w:rsid w:val="00752106"/>
    <w:rsid w:val="007525F8"/>
    <w:rsid w:val="00754EA9"/>
    <w:rsid w:val="0075603E"/>
    <w:rsid w:val="00756B40"/>
    <w:rsid w:val="00762BCA"/>
    <w:rsid w:val="00765753"/>
    <w:rsid w:val="00766F80"/>
    <w:rsid w:val="00767917"/>
    <w:rsid w:val="00767BB8"/>
    <w:rsid w:val="0077123F"/>
    <w:rsid w:val="00772279"/>
    <w:rsid w:val="00774677"/>
    <w:rsid w:val="0077778E"/>
    <w:rsid w:val="007777C5"/>
    <w:rsid w:val="00780BEA"/>
    <w:rsid w:val="00782946"/>
    <w:rsid w:val="00787A42"/>
    <w:rsid w:val="007945D6"/>
    <w:rsid w:val="00796A75"/>
    <w:rsid w:val="00797B59"/>
    <w:rsid w:val="007A0BC9"/>
    <w:rsid w:val="007A258B"/>
    <w:rsid w:val="007A2F52"/>
    <w:rsid w:val="007A5E5F"/>
    <w:rsid w:val="007A5F3E"/>
    <w:rsid w:val="007A61DB"/>
    <w:rsid w:val="007A6C11"/>
    <w:rsid w:val="007A706B"/>
    <w:rsid w:val="007B2399"/>
    <w:rsid w:val="007B268B"/>
    <w:rsid w:val="007B3C87"/>
    <w:rsid w:val="007B4FB6"/>
    <w:rsid w:val="007C1A48"/>
    <w:rsid w:val="007C25E4"/>
    <w:rsid w:val="007C49B1"/>
    <w:rsid w:val="007C6F61"/>
    <w:rsid w:val="007C71EF"/>
    <w:rsid w:val="007C7EAD"/>
    <w:rsid w:val="007D1899"/>
    <w:rsid w:val="007D25C6"/>
    <w:rsid w:val="007D2B30"/>
    <w:rsid w:val="007D45D6"/>
    <w:rsid w:val="007D5EA6"/>
    <w:rsid w:val="007D6139"/>
    <w:rsid w:val="007D739B"/>
    <w:rsid w:val="007E21E7"/>
    <w:rsid w:val="007E3C6E"/>
    <w:rsid w:val="007F093B"/>
    <w:rsid w:val="007F09C2"/>
    <w:rsid w:val="008022AE"/>
    <w:rsid w:val="00805389"/>
    <w:rsid w:val="00806053"/>
    <w:rsid w:val="00810AC8"/>
    <w:rsid w:val="00812C20"/>
    <w:rsid w:val="00814916"/>
    <w:rsid w:val="00814DC0"/>
    <w:rsid w:val="00815195"/>
    <w:rsid w:val="0082336C"/>
    <w:rsid w:val="00826D4F"/>
    <w:rsid w:val="008275E1"/>
    <w:rsid w:val="008316DE"/>
    <w:rsid w:val="008339FB"/>
    <w:rsid w:val="00833D7B"/>
    <w:rsid w:val="00834CB0"/>
    <w:rsid w:val="00835A19"/>
    <w:rsid w:val="00836A81"/>
    <w:rsid w:val="00840253"/>
    <w:rsid w:val="0084091C"/>
    <w:rsid w:val="008423F0"/>
    <w:rsid w:val="00842D3F"/>
    <w:rsid w:val="00844485"/>
    <w:rsid w:val="00845A69"/>
    <w:rsid w:val="00847AAE"/>
    <w:rsid w:val="00852C95"/>
    <w:rsid w:val="00853A44"/>
    <w:rsid w:val="00853C35"/>
    <w:rsid w:val="008573EC"/>
    <w:rsid w:val="00866AEF"/>
    <w:rsid w:val="0086741C"/>
    <w:rsid w:val="00867919"/>
    <w:rsid w:val="00874DF2"/>
    <w:rsid w:val="0087592C"/>
    <w:rsid w:val="00876707"/>
    <w:rsid w:val="00877891"/>
    <w:rsid w:val="00877CF7"/>
    <w:rsid w:val="0088239C"/>
    <w:rsid w:val="008871F8"/>
    <w:rsid w:val="00887F97"/>
    <w:rsid w:val="0089411D"/>
    <w:rsid w:val="0089690B"/>
    <w:rsid w:val="008A0AC5"/>
    <w:rsid w:val="008A0DFF"/>
    <w:rsid w:val="008A1736"/>
    <w:rsid w:val="008A35F1"/>
    <w:rsid w:val="008A55BB"/>
    <w:rsid w:val="008A6006"/>
    <w:rsid w:val="008A73C4"/>
    <w:rsid w:val="008A7DC0"/>
    <w:rsid w:val="008B03A7"/>
    <w:rsid w:val="008B1071"/>
    <w:rsid w:val="008B355F"/>
    <w:rsid w:val="008B77B4"/>
    <w:rsid w:val="008C12C8"/>
    <w:rsid w:val="008C312B"/>
    <w:rsid w:val="008C345D"/>
    <w:rsid w:val="008C6525"/>
    <w:rsid w:val="008D6A61"/>
    <w:rsid w:val="008D76A1"/>
    <w:rsid w:val="008D76F7"/>
    <w:rsid w:val="008E12A4"/>
    <w:rsid w:val="008E2618"/>
    <w:rsid w:val="008E5886"/>
    <w:rsid w:val="008E5B41"/>
    <w:rsid w:val="008E62E2"/>
    <w:rsid w:val="008F1878"/>
    <w:rsid w:val="008F31D0"/>
    <w:rsid w:val="008F5F91"/>
    <w:rsid w:val="008F6129"/>
    <w:rsid w:val="008F710D"/>
    <w:rsid w:val="008F7E78"/>
    <w:rsid w:val="009008AD"/>
    <w:rsid w:val="0090570A"/>
    <w:rsid w:val="00911049"/>
    <w:rsid w:val="00912943"/>
    <w:rsid w:val="00913810"/>
    <w:rsid w:val="00917163"/>
    <w:rsid w:val="00920D55"/>
    <w:rsid w:val="00922B6F"/>
    <w:rsid w:val="009304C4"/>
    <w:rsid w:val="00932823"/>
    <w:rsid w:val="00933ED5"/>
    <w:rsid w:val="00936C6B"/>
    <w:rsid w:val="00946971"/>
    <w:rsid w:val="009473EA"/>
    <w:rsid w:val="00950CA2"/>
    <w:rsid w:val="00953CC9"/>
    <w:rsid w:val="0095585D"/>
    <w:rsid w:val="00957869"/>
    <w:rsid w:val="00960AE9"/>
    <w:rsid w:val="009611C8"/>
    <w:rsid w:val="009643A2"/>
    <w:rsid w:val="009651AC"/>
    <w:rsid w:val="009757DD"/>
    <w:rsid w:val="009769B4"/>
    <w:rsid w:val="00980478"/>
    <w:rsid w:val="009855F4"/>
    <w:rsid w:val="00990C93"/>
    <w:rsid w:val="00991710"/>
    <w:rsid w:val="00991E65"/>
    <w:rsid w:val="00993060"/>
    <w:rsid w:val="00993A40"/>
    <w:rsid w:val="00994141"/>
    <w:rsid w:val="009A3EB9"/>
    <w:rsid w:val="009A686A"/>
    <w:rsid w:val="009B29B0"/>
    <w:rsid w:val="009B5215"/>
    <w:rsid w:val="009C10E6"/>
    <w:rsid w:val="009C5E02"/>
    <w:rsid w:val="009C781D"/>
    <w:rsid w:val="009D2E20"/>
    <w:rsid w:val="009D4989"/>
    <w:rsid w:val="009D514F"/>
    <w:rsid w:val="009E18A0"/>
    <w:rsid w:val="009E35E4"/>
    <w:rsid w:val="009E36A0"/>
    <w:rsid w:val="009E5A20"/>
    <w:rsid w:val="009F24FF"/>
    <w:rsid w:val="009F3336"/>
    <w:rsid w:val="009F5665"/>
    <w:rsid w:val="009F5D0F"/>
    <w:rsid w:val="00A01D86"/>
    <w:rsid w:val="00A03040"/>
    <w:rsid w:val="00A05208"/>
    <w:rsid w:val="00A0673F"/>
    <w:rsid w:val="00A11B4D"/>
    <w:rsid w:val="00A13411"/>
    <w:rsid w:val="00A16293"/>
    <w:rsid w:val="00A21D9D"/>
    <w:rsid w:val="00A26246"/>
    <w:rsid w:val="00A276FA"/>
    <w:rsid w:val="00A27C6C"/>
    <w:rsid w:val="00A3268D"/>
    <w:rsid w:val="00A33DEE"/>
    <w:rsid w:val="00A33FD9"/>
    <w:rsid w:val="00A36EC7"/>
    <w:rsid w:val="00A42252"/>
    <w:rsid w:val="00A4489E"/>
    <w:rsid w:val="00A47D29"/>
    <w:rsid w:val="00A5059A"/>
    <w:rsid w:val="00A52CC9"/>
    <w:rsid w:val="00A57D45"/>
    <w:rsid w:val="00A60A48"/>
    <w:rsid w:val="00A6242C"/>
    <w:rsid w:val="00A63017"/>
    <w:rsid w:val="00A63D07"/>
    <w:rsid w:val="00A644B1"/>
    <w:rsid w:val="00A652B5"/>
    <w:rsid w:val="00A658D5"/>
    <w:rsid w:val="00A665ED"/>
    <w:rsid w:val="00A66C17"/>
    <w:rsid w:val="00A67719"/>
    <w:rsid w:val="00A70981"/>
    <w:rsid w:val="00A71310"/>
    <w:rsid w:val="00A75ECF"/>
    <w:rsid w:val="00A762FE"/>
    <w:rsid w:val="00A803CD"/>
    <w:rsid w:val="00A83425"/>
    <w:rsid w:val="00A85E4F"/>
    <w:rsid w:val="00A87A16"/>
    <w:rsid w:val="00A91F83"/>
    <w:rsid w:val="00A9263D"/>
    <w:rsid w:val="00A948BF"/>
    <w:rsid w:val="00A95766"/>
    <w:rsid w:val="00AA0CF3"/>
    <w:rsid w:val="00AA1B90"/>
    <w:rsid w:val="00AA4E10"/>
    <w:rsid w:val="00AA5647"/>
    <w:rsid w:val="00AB0F27"/>
    <w:rsid w:val="00AB77D1"/>
    <w:rsid w:val="00AC11B3"/>
    <w:rsid w:val="00AC136A"/>
    <w:rsid w:val="00AC1972"/>
    <w:rsid w:val="00AC4A29"/>
    <w:rsid w:val="00AC7A88"/>
    <w:rsid w:val="00AD50A5"/>
    <w:rsid w:val="00AD6924"/>
    <w:rsid w:val="00AE0AD8"/>
    <w:rsid w:val="00AE1BF0"/>
    <w:rsid w:val="00AE3C99"/>
    <w:rsid w:val="00AE4255"/>
    <w:rsid w:val="00AE66CB"/>
    <w:rsid w:val="00AE746F"/>
    <w:rsid w:val="00AF3935"/>
    <w:rsid w:val="00AF3F67"/>
    <w:rsid w:val="00AF65E4"/>
    <w:rsid w:val="00B001DC"/>
    <w:rsid w:val="00B01ADD"/>
    <w:rsid w:val="00B05684"/>
    <w:rsid w:val="00B14DA5"/>
    <w:rsid w:val="00B17BFA"/>
    <w:rsid w:val="00B25C4E"/>
    <w:rsid w:val="00B264D6"/>
    <w:rsid w:val="00B26725"/>
    <w:rsid w:val="00B373E0"/>
    <w:rsid w:val="00B37636"/>
    <w:rsid w:val="00B40046"/>
    <w:rsid w:val="00B42559"/>
    <w:rsid w:val="00B52773"/>
    <w:rsid w:val="00B53229"/>
    <w:rsid w:val="00B55E61"/>
    <w:rsid w:val="00B605E4"/>
    <w:rsid w:val="00B61439"/>
    <w:rsid w:val="00B61F65"/>
    <w:rsid w:val="00B64044"/>
    <w:rsid w:val="00B64604"/>
    <w:rsid w:val="00B6537C"/>
    <w:rsid w:val="00B67E0C"/>
    <w:rsid w:val="00B67FEC"/>
    <w:rsid w:val="00B70ED0"/>
    <w:rsid w:val="00B73CDE"/>
    <w:rsid w:val="00B7635D"/>
    <w:rsid w:val="00B771F6"/>
    <w:rsid w:val="00B80479"/>
    <w:rsid w:val="00B80813"/>
    <w:rsid w:val="00B8203B"/>
    <w:rsid w:val="00B82E39"/>
    <w:rsid w:val="00B84CC3"/>
    <w:rsid w:val="00B858E3"/>
    <w:rsid w:val="00B87FC0"/>
    <w:rsid w:val="00B97263"/>
    <w:rsid w:val="00B97C85"/>
    <w:rsid w:val="00BA1F2C"/>
    <w:rsid w:val="00BB1BCD"/>
    <w:rsid w:val="00BB36C7"/>
    <w:rsid w:val="00BB57BB"/>
    <w:rsid w:val="00BC3905"/>
    <w:rsid w:val="00BC5A9E"/>
    <w:rsid w:val="00BD3720"/>
    <w:rsid w:val="00BD37B1"/>
    <w:rsid w:val="00BD423A"/>
    <w:rsid w:val="00BD5798"/>
    <w:rsid w:val="00BD5B36"/>
    <w:rsid w:val="00BD630F"/>
    <w:rsid w:val="00BE085D"/>
    <w:rsid w:val="00BE357B"/>
    <w:rsid w:val="00BF1DF7"/>
    <w:rsid w:val="00BF2915"/>
    <w:rsid w:val="00BF2BE4"/>
    <w:rsid w:val="00BF3278"/>
    <w:rsid w:val="00C000CB"/>
    <w:rsid w:val="00C03854"/>
    <w:rsid w:val="00C03B05"/>
    <w:rsid w:val="00C05447"/>
    <w:rsid w:val="00C05994"/>
    <w:rsid w:val="00C07BCD"/>
    <w:rsid w:val="00C1046A"/>
    <w:rsid w:val="00C11A77"/>
    <w:rsid w:val="00C12FA1"/>
    <w:rsid w:val="00C1328D"/>
    <w:rsid w:val="00C14059"/>
    <w:rsid w:val="00C16147"/>
    <w:rsid w:val="00C1732C"/>
    <w:rsid w:val="00C20CB6"/>
    <w:rsid w:val="00C21037"/>
    <w:rsid w:val="00C22A36"/>
    <w:rsid w:val="00C23F51"/>
    <w:rsid w:val="00C312CD"/>
    <w:rsid w:val="00C32E37"/>
    <w:rsid w:val="00C37BDE"/>
    <w:rsid w:val="00C41235"/>
    <w:rsid w:val="00C41F12"/>
    <w:rsid w:val="00C42595"/>
    <w:rsid w:val="00C5209E"/>
    <w:rsid w:val="00C557B7"/>
    <w:rsid w:val="00C61380"/>
    <w:rsid w:val="00C66E82"/>
    <w:rsid w:val="00C72213"/>
    <w:rsid w:val="00C728EC"/>
    <w:rsid w:val="00C81500"/>
    <w:rsid w:val="00C82DCA"/>
    <w:rsid w:val="00C8360A"/>
    <w:rsid w:val="00C8662F"/>
    <w:rsid w:val="00C90293"/>
    <w:rsid w:val="00C92C4E"/>
    <w:rsid w:val="00C93638"/>
    <w:rsid w:val="00C97417"/>
    <w:rsid w:val="00CA0CCB"/>
    <w:rsid w:val="00CA6E26"/>
    <w:rsid w:val="00CB10C7"/>
    <w:rsid w:val="00CB6157"/>
    <w:rsid w:val="00CB65ED"/>
    <w:rsid w:val="00CC25D1"/>
    <w:rsid w:val="00CC277F"/>
    <w:rsid w:val="00CC3110"/>
    <w:rsid w:val="00CC4BD2"/>
    <w:rsid w:val="00CC6046"/>
    <w:rsid w:val="00CD25B7"/>
    <w:rsid w:val="00CD2F88"/>
    <w:rsid w:val="00CD4D2F"/>
    <w:rsid w:val="00CD61AA"/>
    <w:rsid w:val="00CD67D3"/>
    <w:rsid w:val="00CE17B7"/>
    <w:rsid w:val="00CE1AB3"/>
    <w:rsid w:val="00CE3DBE"/>
    <w:rsid w:val="00CE4F78"/>
    <w:rsid w:val="00CE506D"/>
    <w:rsid w:val="00CE7BB6"/>
    <w:rsid w:val="00CF100E"/>
    <w:rsid w:val="00CF2B66"/>
    <w:rsid w:val="00CF3267"/>
    <w:rsid w:val="00CF518E"/>
    <w:rsid w:val="00CF6E90"/>
    <w:rsid w:val="00D035B2"/>
    <w:rsid w:val="00D0416C"/>
    <w:rsid w:val="00D061A8"/>
    <w:rsid w:val="00D10704"/>
    <w:rsid w:val="00D113C0"/>
    <w:rsid w:val="00D11F3D"/>
    <w:rsid w:val="00D160AC"/>
    <w:rsid w:val="00D230D2"/>
    <w:rsid w:val="00D23A96"/>
    <w:rsid w:val="00D250CC"/>
    <w:rsid w:val="00D26DE2"/>
    <w:rsid w:val="00D27633"/>
    <w:rsid w:val="00D304D5"/>
    <w:rsid w:val="00D32D09"/>
    <w:rsid w:val="00D36E5E"/>
    <w:rsid w:val="00D37A47"/>
    <w:rsid w:val="00D43CCA"/>
    <w:rsid w:val="00D43F7E"/>
    <w:rsid w:val="00D4492C"/>
    <w:rsid w:val="00D46719"/>
    <w:rsid w:val="00D502CE"/>
    <w:rsid w:val="00D515B0"/>
    <w:rsid w:val="00D57C01"/>
    <w:rsid w:val="00D6066C"/>
    <w:rsid w:val="00D614B8"/>
    <w:rsid w:val="00D62FC4"/>
    <w:rsid w:val="00D65296"/>
    <w:rsid w:val="00D655EB"/>
    <w:rsid w:val="00D674EA"/>
    <w:rsid w:val="00D67677"/>
    <w:rsid w:val="00D74794"/>
    <w:rsid w:val="00D74DEB"/>
    <w:rsid w:val="00D75AB4"/>
    <w:rsid w:val="00D77022"/>
    <w:rsid w:val="00D801CA"/>
    <w:rsid w:val="00D80233"/>
    <w:rsid w:val="00D81B33"/>
    <w:rsid w:val="00D857F5"/>
    <w:rsid w:val="00D95307"/>
    <w:rsid w:val="00D95DB3"/>
    <w:rsid w:val="00DA0B50"/>
    <w:rsid w:val="00DA0C99"/>
    <w:rsid w:val="00DA3373"/>
    <w:rsid w:val="00DA60F3"/>
    <w:rsid w:val="00DA6DD9"/>
    <w:rsid w:val="00DA6F3B"/>
    <w:rsid w:val="00DB009E"/>
    <w:rsid w:val="00DB2036"/>
    <w:rsid w:val="00DB2A0D"/>
    <w:rsid w:val="00DB5CA2"/>
    <w:rsid w:val="00DB71AF"/>
    <w:rsid w:val="00DB7602"/>
    <w:rsid w:val="00DC29F7"/>
    <w:rsid w:val="00DC2E7D"/>
    <w:rsid w:val="00DC3825"/>
    <w:rsid w:val="00DC4B6C"/>
    <w:rsid w:val="00DC51B5"/>
    <w:rsid w:val="00DD0E0E"/>
    <w:rsid w:val="00DD14D3"/>
    <w:rsid w:val="00DD3386"/>
    <w:rsid w:val="00DD3613"/>
    <w:rsid w:val="00DD4257"/>
    <w:rsid w:val="00DD561B"/>
    <w:rsid w:val="00DD56AF"/>
    <w:rsid w:val="00DD7D98"/>
    <w:rsid w:val="00DE1593"/>
    <w:rsid w:val="00DE685D"/>
    <w:rsid w:val="00DF2FF0"/>
    <w:rsid w:val="00DF4075"/>
    <w:rsid w:val="00DF4E52"/>
    <w:rsid w:val="00DF515E"/>
    <w:rsid w:val="00DF6558"/>
    <w:rsid w:val="00DF7304"/>
    <w:rsid w:val="00DF7EBA"/>
    <w:rsid w:val="00E0491B"/>
    <w:rsid w:val="00E10D49"/>
    <w:rsid w:val="00E10FCB"/>
    <w:rsid w:val="00E15356"/>
    <w:rsid w:val="00E164B6"/>
    <w:rsid w:val="00E21651"/>
    <w:rsid w:val="00E25366"/>
    <w:rsid w:val="00E2561D"/>
    <w:rsid w:val="00E2698D"/>
    <w:rsid w:val="00E30BE9"/>
    <w:rsid w:val="00E33081"/>
    <w:rsid w:val="00E3319E"/>
    <w:rsid w:val="00E3705D"/>
    <w:rsid w:val="00E37592"/>
    <w:rsid w:val="00E50E41"/>
    <w:rsid w:val="00E538EF"/>
    <w:rsid w:val="00E56A46"/>
    <w:rsid w:val="00E606E6"/>
    <w:rsid w:val="00E614E3"/>
    <w:rsid w:val="00E6207C"/>
    <w:rsid w:val="00E65D57"/>
    <w:rsid w:val="00E67417"/>
    <w:rsid w:val="00E72689"/>
    <w:rsid w:val="00E72819"/>
    <w:rsid w:val="00E73686"/>
    <w:rsid w:val="00E73DC3"/>
    <w:rsid w:val="00E740E7"/>
    <w:rsid w:val="00E75E50"/>
    <w:rsid w:val="00E76681"/>
    <w:rsid w:val="00E76CBE"/>
    <w:rsid w:val="00E7700F"/>
    <w:rsid w:val="00E83D61"/>
    <w:rsid w:val="00E84AC2"/>
    <w:rsid w:val="00E8779D"/>
    <w:rsid w:val="00E9126D"/>
    <w:rsid w:val="00E914B0"/>
    <w:rsid w:val="00E9291F"/>
    <w:rsid w:val="00E950DB"/>
    <w:rsid w:val="00E9538C"/>
    <w:rsid w:val="00E957B3"/>
    <w:rsid w:val="00E96D7B"/>
    <w:rsid w:val="00E97481"/>
    <w:rsid w:val="00E9783A"/>
    <w:rsid w:val="00EA2257"/>
    <w:rsid w:val="00EA5B43"/>
    <w:rsid w:val="00EB471A"/>
    <w:rsid w:val="00EC0950"/>
    <w:rsid w:val="00EC09BD"/>
    <w:rsid w:val="00EC16AE"/>
    <w:rsid w:val="00EC1C24"/>
    <w:rsid w:val="00EC27CA"/>
    <w:rsid w:val="00EC448B"/>
    <w:rsid w:val="00ED1E85"/>
    <w:rsid w:val="00EE0EA7"/>
    <w:rsid w:val="00EE15D2"/>
    <w:rsid w:val="00EE4109"/>
    <w:rsid w:val="00EE5776"/>
    <w:rsid w:val="00EF0B06"/>
    <w:rsid w:val="00EF139A"/>
    <w:rsid w:val="00EF3D80"/>
    <w:rsid w:val="00EF4CCB"/>
    <w:rsid w:val="00EF5512"/>
    <w:rsid w:val="00F0042A"/>
    <w:rsid w:val="00F00F70"/>
    <w:rsid w:val="00F020A5"/>
    <w:rsid w:val="00F045BF"/>
    <w:rsid w:val="00F06DAD"/>
    <w:rsid w:val="00F122CB"/>
    <w:rsid w:val="00F21B61"/>
    <w:rsid w:val="00F23004"/>
    <w:rsid w:val="00F23B65"/>
    <w:rsid w:val="00F2792F"/>
    <w:rsid w:val="00F27ED9"/>
    <w:rsid w:val="00F30AF1"/>
    <w:rsid w:val="00F3200B"/>
    <w:rsid w:val="00F340AC"/>
    <w:rsid w:val="00F37FBC"/>
    <w:rsid w:val="00F41A36"/>
    <w:rsid w:val="00F41CE8"/>
    <w:rsid w:val="00F42DF9"/>
    <w:rsid w:val="00F438A1"/>
    <w:rsid w:val="00F43CC1"/>
    <w:rsid w:val="00F447EA"/>
    <w:rsid w:val="00F462E6"/>
    <w:rsid w:val="00F46730"/>
    <w:rsid w:val="00F5134C"/>
    <w:rsid w:val="00F54AE7"/>
    <w:rsid w:val="00F55A95"/>
    <w:rsid w:val="00F563DD"/>
    <w:rsid w:val="00F61447"/>
    <w:rsid w:val="00F616E4"/>
    <w:rsid w:val="00F6303A"/>
    <w:rsid w:val="00F64A14"/>
    <w:rsid w:val="00F65B17"/>
    <w:rsid w:val="00F871BC"/>
    <w:rsid w:val="00F902C5"/>
    <w:rsid w:val="00F92081"/>
    <w:rsid w:val="00F931EB"/>
    <w:rsid w:val="00F9499E"/>
    <w:rsid w:val="00F94B0C"/>
    <w:rsid w:val="00FA207A"/>
    <w:rsid w:val="00FA38E3"/>
    <w:rsid w:val="00FA3F20"/>
    <w:rsid w:val="00FA5FB8"/>
    <w:rsid w:val="00FB0214"/>
    <w:rsid w:val="00FB0313"/>
    <w:rsid w:val="00FB3E69"/>
    <w:rsid w:val="00FB427C"/>
    <w:rsid w:val="00FB6636"/>
    <w:rsid w:val="00FB71D3"/>
    <w:rsid w:val="00FB776B"/>
    <w:rsid w:val="00FC1459"/>
    <w:rsid w:val="00FC535A"/>
    <w:rsid w:val="00FC6823"/>
    <w:rsid w:val="00FD024A"/>
    <w:rsid w:val="00FD0619"/>
    <w:rsid w:val="00FD0874"/>
    <w:rsid w:val="00FD2BE8"/>
    <w:rsid w:val="00FD2E3F"/>
    <w:rsid w:val="00FD3114"/>
    <w:rsid w:val="00FD59E2"/>
    <w:rsid w:val="00FD7513"/>
    <w:rsid w:val="00FE0F2D"/>
    <w:rsid w:val="00FE3DE6"/>
    <w:rsid w:val="00FE471F"/>
    <w:rsid w:val="00FE78C7"/>
    <w:rsid w:val="00FE7B28"/>
    <w:rsid w:val="00FE7C86"/>
    <w:rsid w:val="00FF2096"/>
    <w:rsid w:val="00FF7D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8E3"/>
    <w:pPr>
      <w:spacing w:line="360" w:lineRule="auto"/>
      <w:jc w:val="both"/>
    </w:pPr>
    <w:rPr>
      <w:rFonts w:ascii="Calibri" w:hAnsi="Calibri"/>
      <w:szCs w:val="24"/>
    </w:rPr>
  </w:style>
  <w:style w:type="paragraph" w:styleId="Titolo1">
    <w:name w:val="heading 1"/>
    <w:basedOn w:val="Normale"/>
    <w:next w:val="Normale"/>
    <w:link w:val="Titolo1Carattere"/>
    <w:qFormat/>
    <w:rsid w:val="00EA2257"/>
    <w:pPr>
      <w:keepNext/>
      <w:pBdr>
        <w:top w:val="single" w:sz="4" w:space="1" w:color="auto"/>
      </w:pBdr>
      <w:spacing w:before="240" w:after="120"/>
      <w:outlineLvl w:val="0"/>
    </w:pPr>
    <w:rPr>
      <w:rFonts w:ascii="Verdana" w:hAnsi="Verdana"/>
      <w:b/>
      <w:bCs/>
      <w:kern w:val="32"/>
      <w:sz w:val="28"/>
      <w:szCs w:val="32"/>
    </w:rPr>
  </w:style>
  <w:style w:type="paragraph" w:styleId="Titolo2">
    <w:name w:val="heading 2"/>
    <w:basedOn w:val="Normale"/>
    <w:next w:val="Normale"/>
    <w:autoRedefine/>
    <w:qFormat/>
    <w:rsid w:val="003256F2"/>
    <w:pPr>
      <w:keepNext/>
      <w:spacing w:before="120" w:after="120"/>
      <w:outlineLvl w:val="1"/>
    </w:pPr>
    <w:rPr>
      <w:rFonts w:cs="Arial"/>
      <w:b/>
      <w:bCs/>
      <w:i/>
      <w:iCs/>
      <w:sz w:val="24"/>
      <w:szCs w:val="28"/>
    </w:rPr>
  </w:style>
  <w:style w:type="paragraph" w:styleId="Titolo3">
    <w:name w:val="heading 3"/>
    <w:basedOn w:val="Normale"/>
    <w:next w:val="Normale"/>
    <w:link w:val="Titolo3Carattere"/>
    <w:qFormat/>
    <w:rsid w:val="0075603E"/>
    <w:pPr>
      <w:keepNext/>
      <w:spacing w:before="120" w:after="120"/>
      <w:outlineLvl w:val="2"/>
    </w:pPr>
    <w:rPr>
      <w:rFonts w:ascii="Verdana" w:hAnsi="Verdana"/>
      <w:b/>
      <w:bCs/>
      <w:i/>
      <w:sz w:val="24"/>
      <w:szCs w:val="26"/>
      <w:lang w:eastAsia="en-US"/>
    </w:rPr>
  </w:style>
  <w:style w:type="paragraph" w:styleId="Titolo5">
    <w:name w:val="heading 5"/>
    <w:basedOn w:val="Normale"/>
    <w:next w:val="Normale"/>
    <w:link w:val="Titolo5Carattere"/>
    <w:uiPriority w:val="9"/>
    <w:semiHidden/>
    <w:unhideWhenUsed/>
    <w:qFormat/>
    <w:rsid w:val="008A73C4"/>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C1972"/>
    <w:rPr>
      <w:color w:val="0000FF"/>
      <w:u w:val="single"/>
    </w:rPr>
  </w:style>
  <w:style w:type="paragraph" w:styleId="Corpodeltesto">
    <w:name w:val="Body Text"/>
    <w:basedOn w:val="Normale"/>
    <w:link w:val="CorpodeltestoCarattere"/>
    <w:rsid w:val="00AC1972"/>
    <w:pPr>
      <w:jc w:val="center"/>
    </w:pPr>
    <w:rPr>
      <w:rFonts w:ascii="Arial" w:hAnsi="Arial"/>
      <w:sz w:val="22"/>
    </w:rPr>
  </w:style>
  <w:style w:type="paragraph" w:styleId="Titolo">
    <w:name w:val="Title"/>
    <w:basedOn w:val="Normale"/>
    <w:qFormat/>
    <w:rsid w:val="00AC1972"/>
    <w:pPr>
      <w:jc w:val="center"/>
    </w:pPr>
    <w:rPr>
      <w:rFonts w:ascii="Arial" w:hAnsi="Arial"/>
      <w:sz w:val="48"/>
    </w:rPr>
  </w:style>
  <w:style w:type="paragraph" w:styleId="NormaleWeb">
    <w:name w:val="Normal (Web)"/>
    <w:basedOn w:val="Normale"/>
    <w:uiPriority w:val="99"/>
    <w:rsid w:val="00AC1972"/>
    <w:pPr>
      <w:spacing w:before="100" w:beforeAutospacing="1" w:after="100" w:afterAutospacing="1"/>
    </w:pPr>
  </w:style>
  <w:style w:type="character" w:customStyle="1" w:styleId="provvnumart1">
    <w:name w:val="provv_numart1"/>
    <w:rsid w:val="00AC1972"/>
    <w:rPr>
      <w:rFonts w:ascii="Verdana" w:hAnsi="Verdana" w:hint="default"/>
      <w:b/>
      <w:bCs/>
    </w:rPr>
  </w:style>
  <w:style w:type="character" w:customStyle="1" w:styleId="provvrubrica1">
    <w:name w:val="provv_rubrica1"/>
    <w:rsid w:val="00AC1972"/>
    <w:rPr>
      <w:rFonts w:ascii="Verdana" w:hAnsi="Verdana" w:hint="default"/>
      <w:i/>
      <w:iCs/>
    </w:rPr>
  </w:style>
  <w:style w:type="paragraph" w:customStyle="1" w:styleId="provvr01">
    <w:name w:val="provv_r01"/>
    <w:basedOn w:val="Normale"/>
    <w:rsid w:val="00AC1972"/>
    <w:pPr>
      <w:spacing w:before="100" w:beforeAutospacing="1" w:after="100" w:afterAutospacing="1"/>
    </w:pPr>
    <w:rPr>
      <w:rFonts w:ascii="Verdana" w:hAnsi="Verdana"/>
    </w:rPr>
  </w:style>
  <w:style w:type="paragraph" w:styleId="Testonotaapidipagina">
    <w:name w:val="footnote text"/>
    <w:basedOn w:val="Normale"/>
    <w:semiHidden/>
    <w:rsid w:val="00AC1972"/>
    <w:rPr>
      <w:szCs w:val="20"/>
    </w:rPr>
  </w:style>
  <w:style w:type="character" w:styleId="Rimandonotaapidipagina">
    <w:name w:val="footnote reference"/>
    <w:semiHidden/>
    <w:rsid w:val="00AC1972"/>
    <w:rPr>
      <w:vertAlign w:val="superscript"/>
    </w:rPr>
  </w:style>
  <w:style w:type="paragraph" w:styleId="Testofumetto">
    <w:name w:val="Balloon Text"/>
    <w:basedOn w:val="Normale"/>
    <w:semiHidden/>
    <w:rsid w:val="00AC1972"/>
    <w:rPr>
      <w:rFonts w:ascii="Tahoma" w:hAnsi="Tahoma" w:cs="Tahoma"/>
      <w:sz w:val="16"/>
      <w:szCs w:val="16"/>
    </w:rPr>
  </w:style>
  <w:style w:type="character" w:customStyle="1" w:styleId="linkneltesto">
    <w:name w:val="link_nel_testo"/>
    <w:rsid w:val="00AC1972"/>
    <w:rPr>
      <w:i/>
      <w:iCs/>
    </w:rPr>
  </w:style>
  <w:style w:type="paragraph" w:customStyle="1" w:styleId="provvr0">
    <w:name w:val="provv_r0"/>
    <w:basedOn w:val="Normale"/>
    <w:rsid w:val="00AC1972"/>
    <w:pPr>
      <w:spacing w:before="100" w:beforeAutospacing="1" w:after="100" w:afterAutospacing="1"/>
    </w:pPr>
  </w:style>
  <w:style w:type="paragraph" w:customStyle="1" w:styleId="provvr1">
    <w:name w:val="provv_r1"/>
    <w:basedOn w:val="Normale"/>
    <w:rsid w:val="00AC1972"/>
    <w:pPr>
      <w:spacing w:before="100" w:beforeAutospacing="1" w:after="100" w:afterAutospacing="1"/>
      <w:ind w:firstLine="400"/>
    </w:pPr>
  </w:style>
  <w:style w:type="paragraph" w:customStyle="1" w:styleId="provvr2">
    <w:name w:val="provv_r2"/>
    <w:basedOn w:val="Normale"/>
    <w:rsid w:val="00AC1972"/>
    <w:pPr>
      <w:spacing w:before="100" w:beforeAutospacing="1" w:after="100" w:afterAutospacing="1"/>
      <w:ind w:firstLine="600"/>
    </w:pPr>
  </w:style>
  <w:style w:type="paragraph" w:styleId="Sommario1">
    <w:name w:val="toc 1"/>
    <w:basedOn w:val="Normale"/>
    <w:next w:val="Normale"/>
    <w:autoRedefine/>
    <w:uiPriority w:val="39"/>
    <w:rsid w:val="00BC3905"/>
    <w:pPr>
      <w:tabs>
        <w:tab w:val="left" w:pos="480"/>
        <w:tab w:val="right" w:leader="dot" w:pos="9854"/>
      </w:tabs>
      <w:spacing w:before="360"/>
    </w:pPr>
    <w:rPr>
      <w:rFonts w:cs="Arial"/>
      <w:b/>
      <w:bCs/>
      <w:caps/>
      <w:noProof/>
    </w:rPr>
  </w:style>
  <w:style w:type="paragraph" w:styleId="Sommario2">
    <w:name w:val="toc 2"/>
    <w:basedOn w:val="Normale"/>
    <w:next w:val="Normale"/>
    <w:autoRedefine/>
    <w:uiPriority w:val="39"/>
    <w:rsid w:val="00BC3905"/>
    <w:pPr>
      <w:tabs>
        <w:tab w:val="right" w:leader="dot" w:pos="9854"/>
      </w:tabs>
      <w:spacing w:before="240"/>
    </w:pPr>
    <w:rPr>
      <w:b/>
      <w:bCs/>
      <w:noProof/>
      <w:szCs w:val="20"/>
    </w:rPr>
  </w:style>
  <w:style w:type="paragraph" w:styleId="Sommario3">
    <w:name w:val="toc 3"/>
    <w:basedOn w:val="Normale"/>
    <w:next w:val="Normale"/>
    <w:autoRedefine/>
    <w:uiPriority w:val="39"/>
    <w:rsid w:val="001C26CB"/>
    <w:pPr>
      <w:tabs>
        <w:tab w:val="left" w:pos="720"/>
        <w:tab w:val="right" w:leader="dot" w:pos="9854"/>
      </w:tabs>
      <w:ind w:left="238"/>
    </w:pPr>
    <w:rPr>
      <w:szCs w:val="20"/>
    </w:rPr>
  </w:style>
  <w:style w:type="paragraph" w:styleId="Sommario4">
    <w:name w:val="toc 4"/>
    <w:basedOn w:val="Normale"/>
    <w:next w:val="Normale"/>
    <w:autoRedefine/>
    <w:semiHidden/>
    <w:rsid w:val="001B7806"/>
    <w:pPr>
      <w:ind w:left="480"/>
    </w:pPr>
    <w:rPr>
      <w:szCs w:val="20"/>
    </w:rPr>
  </w:style>
  <w:style w:type="paragraph" w:styleId="Sommario5">
    <w:name w:val="toc 5"/>
    <w:basedOn w:val="Normale"/>
    <w:next w:val="Normale"/>
    <w:autoRedefine/>
    <w:semiHidden/>
    <w:rsid w:val="001B7806"/>
    <w:pPr>
      <w:ind w:left="720"/>
    </w:pPr>
    <w:rPr>
      <w:szCs w:val="20"/>
    </w:rPr>
  </w:style>
  <w:style w:type="paragraph" w:styleId="Sommario6">
    <w:name w:val="toc 6"/>
    <w:basedOn w:val="Normale"/>
    <w:next w:val="Normale"/>
    <w:autoRedefine/>
    <w:semiHidden/>
    <w:rsid w:val="001B7806"/>
    <w:pPr>
      <w:ind w:left="960"/>
    </w:pPr>
    <w:rPr>
      <w:szCs w:val="20"/>
    </w:rPr>
  </w:style>
  <w:style w:type="paragraph" w:styleId="Sommario7">
    <w:name w:val="toc 7"/>
    <w:basedOn w:val="Normale"/>
    <w:next w:val="Normale"/>
    <w:autoRedefine/>
    <w:semiHidden/>
    <w:rsid w:val="001B7806"/>
    <w:pPr>
      <w:ind w:left="1200"/>
    </w:pPr>
    <w:rPr>
      <w:szCs w:val="20"/>
    </w:rPr>
  </w:style>
  <w:style w:type="paragraph" w:styleId="Sommario8">
    <w:name w:val="toc 8"/>
    <w:basedOn w:val="Normale"/>
    <w:next w:val="Normale"/>
    <w:autoRedefine/>
    <w:semiHidden/>
    <w:rsid w:val="001B7806"/>
    <w:pPr>
      <w:ind w:left="1440"/>
    </w:pPr>
    <w:rPr>
      <w:szCs w:val="20"/>
    </w:rPr>
  </w:style>
  <w:style w:type="paragraph" w:styleId="Sommario9">
    <w:name w:val="toc 9"/>
    <w:basedOn w:val="Normale"/>
    <w:next w:val="Normale"/>
    <w:autoRedefine/>
    <w:semiHidden/>
    <w:rsid w:val="001B7806"/>
    <w:pPr>
      <w:ind w:left="1680"/>
    </w:pPr>
    <w:rPr>
      <w:szCs w:val="20"/>
    </w:rPr>
  </w:style>
  <w:style w:type="character" w:customStyle="1" w:styleId="Titolo1Carattere">
    <w:name w:val="Titolo 1 Carattere"/>
    <w:link w:val="Titolo1"/>
    <w:rsid w:val="00EA2257"/>
    <w:rPr>
      <w:rFonts w:ascii="Verdana" w:hAnsi="Verdana"/>
      <w:b/>
      <w:bCs/>
      <w:kern w:val="32"/>
      <w:sz w:val="28"/>
      <w:szCs w:val="32"/>
    </w:rPr>
  </w:style>
  <w:style w:type="paragraph" w:styleId="Intestazione">
    <w:name w:val="header"/>
    <w:basedOn w:val="Normale"/>
    <w:rsid w:val="006938F7"/>
    <w:pPr>
      <w:tabs>
        <w:tab w:val="center" w:pos="4819"/>
        <w:tab w:val="right" w:pos="9638"/>
      </w:tabs>
    </w:pPr>
  </w:style>
  <w:style w:type="paragraph" w:styleId="Pidipagina">
    <w:name w:val="footer"/>
    <w:basedOn w:val="Normale"/>
    <w:rsid w:val="006938F7"/>
    <w:pPr>
      <w:tabs>
        <w:tab w:val="center" w:pos="4819"/>
        <w:tab w:val="right" w:pos="9638"/>
      </w:tabs>
    </w:pPr>
  </w:style>
  <w:style w:type="character" w:styleId="Numeropagina">
    <w:name w:val="page number"/>
    <w:basedOn w:val="Carpredefinitoparagrafo"/>
    <w:rsid w:val="006938F7"/>
  </w:style>
  <w:style w:type="table" w:styleId="Grigliatabella">
    <w:name w:val="Table Grid"/>
    <w:basedOn w:val="Tabellanormale"/>
    <w:uiPriority w:val="59"/>
    <w:rsid w:val="00DD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Carattere">
    <w:name w:val="Carattere Carattere"/>
    <w:basedOn w:val="Normale"/>
    <w:rsid w:val="00095BC1"/>
    <w:pPr>
      <w:spacing w:after="160" w:line="240" w:lineRule="exact"/>
    </w:pPr>
    <w:rPr>
      <w:rFonts w:ascii="Tahoma" w:eastAsia="SimSun" w:hAnsi="Tahoma"/>
      <w:szCs w:val="20"/>
      <w:lang w:val="en-US" w:eastAsia="en-US"/>
    </w:rPr>
  </w:style>
  <w:style w:type="numbering" w:customStyle="1" w:styleId="Stile1">
    <w:name w:val="Stile1"/>
    <w:rsid w:val="00B01ADD"/>
    <w:pPr>
      <w:numPr>
        <w:numId w:val="1"/>
      </w:numPr>
    </w:pPr>
  </w:style>
  <w:style w:type="paragraph" w:styleId="Paragrafoelenco">
    <w:name w:val="List Paragraph"/>
    <w:basedOn w:val="Normale"/>
    <w:uiPriority w:val="34"/>
    <w:qFormat/>
    <w:rsid w:val="00B01ADD"/>
    <w:pPr>
      <w:ind w:left="708"/>
    </w:pPr>
  </w:style>
  <w:style w:type="paragraph" w:customStyle="1" w:styleId="Default">
    <w:name w:val="Default"/>
    <w:rsid w:val="001575F7"/>
    <w:pPr>
      <w:autoSpaceDE w:val="0"/>
      <w:autoSpaceDN w:val="0"/>
      <w:adjustRightInd w:val="0"/>
    </w:pPr>
    <w:rPr>
      <w:rFonts w:ascii="Garamond" w:hAnsi="Garamond" w:cs="Garamond"/>
      <w:color w:val="000000"/>
      <w:sz w:val="24"/>
      <w:szCs w:val="24"/>
    </w:rPr>
  </w:style>
  <w:style w:type="character" w:customStyle="1" w:styleId="Titolo3Carattere">
    <w:name w:val="Titolo 3 Carattere"/>
    <w:link w:val="Titolo3"/>
    <w:rsid w:val="0075603E"/>
    <w:rPr>
      <w:rFonts w:ascii="Verdana" w:hAnsi="Verdana" w:cs="Arial"/>
      <w:b/>
      <w:bCs/>
      <w:i/>
      <w:sz w:val="24"/>
      <w:szCs w:val="26"/>
      <w:lang w:eastAsia="en-US"/>
    </w:rPr>
  </w:style>
  <w:style w:type="character" w:customStyle="1" w:styleId="CorpodeltestoCarattere">
    <w:name w:val="Corpo del testo Carattere"/>
    <w:link w:val="Corpodeltesto"/>
    <w:rsid w:val="00323A9B"/>
    <w:rPr>
      <w:rFonts w:ascii="Arial" w:hAnsi="Arial" w:cs="Arial"/>
      <w:sz w:val="22"/>
      <w:szCs w:val="24"/>
    </w:rPr>
  </w:style>
  <w:style w:type="character" w:customStyle="1" w:styleId="Titolo5Carattere">
    <w:name w:val="Titolo 5 Carattere"/>
    <w:link w:val="Titolo5"/>
    <w:uiPriority w:val="9"/>
    <w:semiHidden/>
    <w:rsid w:val="008A73C4"/>
    <w:rPr>
      <w:rFonts w:ascii="Calibri" w:eastAsia="Times New Roman" w:hAnsi="Calibri" w:cs="Times New Roman"/>
      <w:b/>
      <w:bCs/>
      <w:i/>
      <w:iCs/>
      <w:sz w:val="26"/>
      <w:szCs w:val="26"/>
    </w:rPr>
  </w:style>
  <w:style w:type="paragraph" w:styleId="Titolosommario">
    <w:name w:val="TOC Heading"/>
    <w:basedOn w:val="Titolo1"/>
    <w:next w:val="Normale"/>
    <w:uiPriority w:val="39"/>
    <w:unhideWhenUsed/>
    <w:qFormat/>
    <w:rsid w:val="00BC3905"/>
    <w:pPr>
      <w:keepLines/>
      <w:spacing w:after="0" w:line="259" w:lineRule="auto"/>
      <w:jc w:val="left"/>
      <w:outlineLvl w:val="9"/>
    </w:pPr>
    <w:rPr>
      <w:rFonts w:ascii="Calibri Light" w:hAnsi="Calibri Light"/>
      <w:b w:val="0"/>
      <w:bCs w:val="0"/>
      <w:color w:val="2E74B5"/>
      <w:kern w:val="0"/>
      <w:sz w:val="32"/>
    </w:rPr>
  </w:style>
  <w:style w:type="character" w:customStyle="1" w:styleId="UnresolvedMention">
    <w:name w:val="Unresolved Mention"/>
    <w:uiPriority w:val="99"/>
    <w:semiHidden/>
    <w:unhideWhenUsed/>
    <w:rsid w:val="00372C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561844">
      <w:bodyDiv w:val="1"/>
      <w:marLeft w:val="0"/>
      <w:marRight w:val="0"/>
      <w:marTop w:val="0"/>
      <w:marBottom w:val="0"/>
      <w:divBdr>
        <w:top w:val="none" w:sz="0" w:space="0" w:color="auto"/>
        <w:left w:val="none" w:sz="0" w:space="0" w:color="auto"/>
        <w:bottom w:val="none" w:sz="0" w:space="0" w:color="auto"/>
        <w:right w:val="none" w:sz="0" w:space="0" w:color="auto"/>
      </w:divBdr>
    </w:div>
    <w:div w:id="140273979">
      <w:bodyDiv w:val="1"/>
      <w:marLeft w:val="0"/>
      <w:marRight w:val="0"/>
      <w:marTop w:val="0"/>
      <w:marBottom w:val="0"/>
      <w:divBdr>
        <w:top w:val="none" w:sz="0" w:space="0" w:color="auto"/>
        <w:left w:val="none" w:sz="0" w:space="0" w:color="auto"/>
        <w:bottom w:val="none" w:sz="0" w:space="0" w:color="auto"/>
        <w:right w:val="none" w:sz="0" w:space="0" w:color="auto"/>
      </w:divBdr>
    </w:div>
    <w:div w:id="167183054">
      <w:bodyDiv w:val="1"/>
      <w:marLeft w:val="0"/>
      <w:marRight w:val="0"/>
      <w:marTop w:val="0"/>
      <w:marBottom w:val="0"/>
      <w:divBdr>
        <w:top w:val="none" w:sz="0" w:space="0" w:color="auto"/>
        <w:left w:val="none" w:sz="0" w:space="0" w:color="auto"/>
        <w:bottom w:val="none" w:sz="0" w:space="0" w:color="auto"/>
        <w:right w:val="none" w:sz="0" w:space="0" w:color="auto"/>
      </w:divBdr>
    </w:div>
    <w:div w:id="247276285">
      <w:bodyDiv w:val="1"/>
      <w:marLeft w:val="0"/>
      <w:marRight w:val="0"/>
      <w:marTop w:val="0"/>
      <w:marBottom w:val="0"/>
      <w:divBdr>
        <w:top w:val="none" w:sz="0" w:space="0" w:color="auto"/>
        <w:left w:val="none" w:sz="0" w:space="0" w:color="auto"/>
        <w:bottom w:val="none" w:sz="0" w:space="0" w:color="auto"/>
        <w:right w:val="none" w:sz="0" w:space="0" w:color="auto"/>
      </w:divBdr>
      <w:divsChild>
        <w:div w:id="31155081">
          <w:marLeft w:val="0"/>
          <w:marRight w:val="0"/>
          <w:marTop w:val="150"/>
          <w:marBottom w:val="0"/>
          <w:divBdr>
            <w:top w:val="single" w:sz="6" w:space="8" w:color="DDDDDD"/>
            <w:left w:val="single" w:sz="6" w:space="0" w:color="DDDDDD"/>
            <w:bottom w:val="single" w:sz="6" w:space="6" w:color="DDDDDD"/>
            <w:right w:val="single" w:sz="6" w:space="6" w:color="DDDDDD"/>
          </w:divBdr>
        </w:div>
        <w:div w:id="912397477">
          <w:marLeft w:val="0"/>
          <w:marRight w:val="0"/>
          <w:marTop w:val="105"/>
          <w:marBottom w:val="0"/>
          <w:divBdr>
            <w:top w:val="none" w:sz="0" w:space="0" w:color="auto"/>
            <w:left w:val="none" w:sz="0" w:space="0" w:color="auto"/>
            <w:bottom w:val="none" w:sz="0" w:space="0" w:color="auto"/>
            <w:right w:val="none" w:sz="0" w:space="0" w:color="auto"/>
          </w:divBdr>
        </w:div>
      </w:divsChild>
    </w:div>
    <w:div w:id="417336793">
      <w:bodyDiv w:val="1"/>
      <w:marLeft w:val="0"/>
      <w:marRight w:val="0"/>
      <w:marTop w:val="0"/>
      <w:marBottom w:val="0"/>
      <w:divBdr>
        <w:top w:val="none" w:sz="0" w:space="0" w:color="auto"/>
        <w:left w:val="none" w:sz="0" w:space="0" w:color="auto"/>
        <w:bottom w:val="none" w:sz="0" w:space="0" w:color="auto"/>
        <w:right w:val="none" w:sz="0" w:space="0" w:color="auto"/>
      </w:divBdr>
    </w:div>
    <w:div w:id="495650628">
      <w:bodyDiv w:val="1"/>
      <w:marLeft w:val="0"/>
      <w:marRight w:val="0"/>
      <w:marTop w:val="0"/>
      <w:marBottom w:val="0"/>
      <w:divBdr>
        <w:top w:val="none" w:sz="0" w:space="0" w:color="auto"/>
        <w:left w:val="none" w:sz="0" w:space="0" w:color="auto"/>
        <w:bottom w:val="none" w:sz="0" w:space="0" w:color="auto"/>
        <w:right w:val="none" w:sz="0" w:space="0" w:color="auto"/>
      </w:divBdr>
    </w:div>
    <w:div w:id="593054205">
      <w:bodyDiv w:val="1"/>
      <w:marLeft w:val="0"/>
      <w:marRight w:val="0"/>
      <w:marTop w:val="0"/>
      <w:marBottom w:val="0"/>
      <w:divBdr>
        <w:top w:val="none" w:sz="0" w:space="0" w:color="auto"/>
        <w:left w:val="none" w:sz="0" w:space="0" w:color="auto"/>
        <w:bottom w:val="none" w:sz="0" w:space="0" w:color="auto"/>
        <w:right w:val="none" w:sz="0" w:space="0" w:color="auto"/>
      </w:divBdr>
    </w:div>
    <w:div w:id="654139546">
      <w:bodyDiv w:val="1"/>
      <w:marLeft w:val="0"/>
      <w:marRight w:val="0"/>
      <w:marTop w:val="0"/>
      <w:marBottom w:val="0"/>
      <w:divBdr>
        <w:top w:val="none" w:sz="0" w:space="0" w:color="auto"/>
        <w:left w:val="none" w:sz="0" w:space="0" w:color="auto"/>
        <w:bottom w:val="none" w:sz="0" w:space="0" w:color="auto"/>
        <w:right w:val="none" w:sz="0" w:space="0" w:color="auto"/>
      </w:divBdr>
      <w:divsChild>
        <w:div w:id="1705904029">
          <w:marLeft w:val="0"/>
          <w:marRight w:val="0"/>
          <w:marTop w:val="0"/>
          <w:marBottom w:val="0"/>
          <w:divBdr>
            <w:top w:val="none" w:sz="0" w:space="0" w:color="auto"/>
            <w:left w:val="none" w:sz="0" w:space="0" w:color="auto"/>
            <w:bottom w:val="none" w:sz="0" w:space="0" w:color="auto"/>
            <w:right w:val="none" w:sz="0" w:space="0" w:color="auto"/>
          </w:divBdr>
        </w:div>
      </w:divsChild>
    </w:div>
    <w:div w:id="866678286">
      <w:bodyDiv w:val="1"/>
      <w:marLeft w:val="0"/>
      <w:marRight w:val="0"/>
      <w:marTop w:val="0"/>
      <w:marBottom w:val="0"/>
      <w:divBdr>
        <w:top w:val="none" w:sz="0" w:space="0" w:color="auto"/>
        <w:left w:val="none" w:sz="0" w:space="0" w:color="auto"/>
        <w:bottom w:val="none" w:sz="0" w:space="0" w:color="auto"/>
        <w:right w:val="none" w:sz="0" w:space="0" w:color="auto"/>
      </w:divBdr>
      <w:divsChild>
        <w:div w:id="629938307">
          <w:marLeft w:val="0"/>
          <w:marRight w:val="0"/>
          <w:marTop w:val="0"/>
          <w:marBottom w:val="0"/>
          <w:divBdr>
            <w:top w:val="none" w:sz="0" w:space="0" w:color="auto"/>
            <w:left w:val="none" w:sz="0" w:space="0" w:color="auto"/>
            <w:bottom w:val="none" w:sz="0" w:space="0" w:color="auto"/>
            <w:right w:val="none" w:sz="0" w:space="0" w:color="auto"/>
          </w:divBdr>
          <w:divsChild>
            <w:div w:id="378675847">
              <w:marLeft w:val="0"/>
              <w:marRight w:val="0"/>
              <w:marTop w:val="0"/>
              <w:marBottom w:val="0"/>
              <w:divBdr>
                <w:top w:val="none" w:sz="0" w:space="0" w:color="auto"/>
                <w:left w:val="none" w:sz="0" w:space="0" w:color="auto"/>
                <w:bottom w:val="none" w:sz="0" w:space="0" w:color="auto"/>
                <w:right w:val="none" w:sz="0" w:space="0" w:color="auto"/>
              </w:divBdr>
              <w:divsChild>
                <w:div w:id="134613878">
                  <w:marLeft w:val="0"/>
                  <w:marRight w:val="0"/>
                  <w:marTop w:val="0"/>
                  <w:marBottom w:val="0"/>
                  <w:divBdr>
                    <w:top w:val="none" w:sz="0" w:space="0" w:color="auto"/>
                    <w:left w:val="none" w:sz="0" w:space="0" w:color="auto"/>
                    <w:bottom w:val="none" w:sz="0" w:space="0" w:color="auto"/>
                    <w:right w:val="none" w:sz="0" w:space="0" w:color="auto"/>
                  </w:divBdr>
                </w:div>
                <w:div w:id="144323456">
                  <w:marLeft w:val="0"/>
                  <w:marRight w:val="0"/>
                  <w:marTop w:val="0"/>
                  <w:marBottom w:val="0"/>
                  <w:divBdr>
                    <w:top w:val="none" w:sz="0" w:space="0" w:color="auto"/>
                    <w:left w:val="none" w:sz="0" w:space="0" w:color="auto"/>
                    <w:bottom w:val="none" w:sz="0" w:space="0" w:color="auto"/>
                    <w:right w:val="none" w:sz="0" w:space="0" w:color="auto"/>
                  </w:divBdr>
                </w:div>
                <w:div w:id="171645947">
                  <w:marLeft w:val="0"/>
                  <w:marRight w:val="0"/>
                  <w:marTop w:val="0"/>
                  <w:marBottom w:val="0"/>
                  <w:divBdr>
                    <w:top w:val="none" w:sz="0" w:space="0" w:color="auto"/>
                    <w:left w:val="none" w:sz="0" w:space="0" w:color="auto"/>
                    <w:bottom w:val="none" w:sz="0" w:space="0" w:color="auto"/>
                    <w:right w:val="none" w:sz="0" w:space="0" w:color="auto"/>
                  </w:divBdr>
                </w:div>
                <w:div w:id="245381875">
                  <w:marLeft w:val="0"/>
                  <w:marRight w:val="0"/>
                  <w:marTop w:val="0"/>
                  <w:marBottom w:val="0"/>
                  <w:divBdr>
                    <w:top w:val="none" w:sz="0" w:space="0" w:color="auto"/>
                    <w:left w:val="none" w:sz="0" w:space="0" w:color="auto"/>
                    <w:bottom w:val="none" w:sz="0" w:space="0" w:color="auto"/>
                    <w:right w:val="none" w:sz="0" w:space="0" w:color="auto"/>
                  </w:divBdr>
                </w:div>
                <w:div w:id="313023458">
                  <w:marLeft w:val="0"/>
                  <w:marRight w:val="0"/>
                  <w:marTop w:val="0"/>
                  <w:marBottom w:val="0"/>
                  <w:divBdr>
                    <w:top w:val="none" w:sz="0" w:space="0" w:color="auto"/>
                    <w:left w:val="none" w:sz="0" w:space="0" w:color="auto"/>
                    <w:bottom w:val="none" w:sz="0" w:space="0" w:color="auto"/>
                    <w:right w:val="none" w:sz="0" w:space="0" w:color="auto"/>
                  </w:divBdr>
                </w:div>
                <w:div w:id="324165182">
                  <w:marLeft w:val="0"/>
                  <w:marRight w:val="0"/>
                  <w:marTop w:val="0"/>
                  <w:marBottom w:val="0"/>
                  <w:divBdr>
                    <w:top w:val="none" w:sz="0" w:space="0" w:color="auto"/>
                    <w:left w:val="none" w:sz="0" w:space="0" w:color="auto"/>
                    <w:bottom w:val="none" w:sz="0" w:space="0" w:color="auto"/>
                    <w:right w:val="none" w:sz="0" w:space="0" w:color="auto"/>
                  </w:divBdr>
                </w:div>
                <w:div w:id="356463722">
                  <w:marLeft w:val="0"/>
                  <w:marRight w:val="0"/>
                  <w:marTop w:val="0"/>
                  <w:marBottom w:val="0"/>
                  <w:divBdr>
                    <w:top w:val="none" w:sz="0" w:space="0" w:color="auto"/>
                    <w:left w:val="none" w:sz="0" w:space="0" w:color="auto"/>
                    <w:bottom w:val="none" w:sz="0" w:space="0" w:color="auto"/>
                    <w:right w:val="none" w:sz="0" w:space="0" w:color="auto"/>
                  </w:divBdr>
                </w:div>
                <w:div w:id="363988165">
                  <w:marLeft w:val="0"/>
                  <w:marRight w:val="0"/>
                  <w:marTop w:val="0"/>
                  <w:marBottom w:val="0"/>
                  <w:divBdr>
                    <w:top w:val="none" w:sz="0" w:space="0" w:color="auto"/>
                    <w:left w:val="none" w:sz="0" w:space="0" w:color="auto"/>
                    <w:bottom w:val="none" w:sz="0" w:space="0" w:color="auto"/>
                    <w:right w:val="none" w:sz="0" w:space="0" w:color="auto"/>
                  </w:divBdr>
                </w:div>
                <w:div w:id="401145943">
                  <w:marLeft w:val="0"/>
                  <w:marRight w:val="0"/>
                  <w:marTop w:val="0"/>
                  <w:marBottom w:val="0"/>
                  <w:divBdr>
                    <w:top w:val="none" w:sz="0" w:space="0" w:color="auto"/>
                    <w:left w:val="none" w:sz="0" w:space="0" w:color="auto"/>
                    <w:bottom w:val="none" w:sz="0" w:space="0" w:color="auto"/>
                    <w:right w:val="none" w:sz="0" w:space="0" w:color="auto"/>
                  </w:divBdr>
                </w:div>
                <w:div w:id="435251499">
                  <w:marLeft w:val="0"/>
                  <w:marRight w:val="0"/>
                  <w:marTop w:val="0"/>
                  <w:marBottom w:val="0"/>
                  <w:divBdr>
                    <w:top w:val="none" w:sz="0" w:space="0" w:color="auto"/>
                    <w:left w:val="none" w:sz="0" w:space="0" w:color="auto"/>
                    <w:bottom w:val="none" w:sz="0" w:space="0" w:color="auto"/>
                    <w:right w:val="none" w:sz="0" w:space="0" w:color="auto"/>
                  </w:divBdr>
                </w:div>
                <w:div w:id="450367394">
                  <w:marLeft w:val="0"/>
                  <w:marRight w:val="0"/>
                  <w:marTop w:val="0"/>
                  <w:marBottom w:val="0"/>
                  <w:divBdr>
                    <w:top w:val="none" w:sz="0" w:space="0" w:color="auto"/>
                    <w:left w:val="none" w:sz="0" w:space="0" w:color="auto"/>
                    <w:bottom w:val="none" w:sz="0" w:space="0" w:color="auto"/>
                    <w:right w:val="none" w:sz="0" w:space="0" w:color="auto"/>
                  </w:divBdr>
                </w:div>
                <w:div w:id="495343392">
                  <w:marLeft w:val="0"/>
                  <w:marRight w:val="0"/>
                  <w:marTop w:val="0"/>
                  <w:marBottom w:val="0"/>
                  <w:divBdr>
                    <w:top w:val="none" w:sz="0" w:space="0" w:color="auto"/>
                    <w:left w:val="none" w:sz="0" w:space="0" w:color="auto"/>
                    <w:bottom w:val="none" w:sz="0" w:space="0" w:color="auto"/>
                    <w:right w:val="none" w:sz="0" w:space="0" w:color="auto"/>
                  </w:divBdr>
                </w:div>
                <w:div w:id="540751486">
                  <w:marLeft w:val="0"/>
                  <w:marRight w:val="0"/>
                  <w:marTop w:val="0"/>
                  <w:marBottom w:val="0"/>
                  <w:divBdr>
                    <w:top w:val="none" w:sz="0" w:space="0" w:color="auto"/>
                    <w:left w:val="none" w:sz="0" w:space="0" w:color="auto"/>
                    <w:bottom w:val="none" w:sz="0" w:space="0" w:color="auto"/>
                    <w:right w:val="none" w:sz="0" w:space="0" w:color="auto"/>
                  </w:divBdr>
                </w:div>
                <w:div w:id="551965340">
                  <w:marLeft w:val="0"/>
                  <w:marRight w:val="0"/>
                  <w:marTop w:val="0"/>
                  <w:marBottom w:val="0"/>
                  <w:divBdr>
                    <w:top w:val="none" w:sz="0" w:space="0" w:color="auto"/>
                    <w:left w:val="none" w:sz="0" w:space="0" w:color="auto"/>
                    <w:bottom w:val="none" w:sz="0" w:space="0" w:color="auto"/>
                    <w:right w:val="none" w:sz="0" w:space="0" w:color="auto"/>
                  </w:divBdr>
                </w:div>
                <w:div w:id="603028755">
                  <w:marLeft w:val="0"/>
                  <w:marRight w:val="0"/>
                  <w:marTop w:val="0"/>
                  <w:marBottom w:val="0"/>
                  <w:divBdr>
                    <w:top w:val="none" w:sz="0" w:space="0" w:color="auto"/>
                    <w:left w:val="none" w:sz="0" w:space="0" w:color="auto"/>
                    <w:bottom w:val="none" w:sz="0" w:space="0" w:color="auto"/>
                    <w:right w:val="none" w:sz="0" w:space="0" w:color="auto"/>
                  </w:divBdr>
                </w:div>
                <w:div w:id="642538622">
                  <w:marLeft w:val="0"/>
                  <w:marRight w:val="0"/>
                  <w:marTop w:val="0"/>
                  <w:marBottom w:val="0"/>
                  <w:divBdr>
                    <w:top w:val="none" w:sz="0" w:space="0" w:color="auto"/>
                    <w:left w:val="none" w:sz="0" w:space="0" w:color="auto"/>
                    <w:bottom w:val="none" w:sz="0" w:space="0" w:color="auto"/>
                    <w:right w:val="none" w:sz="0" w:space="0" w:color="auto"/>
                  </w:divBdr>
                </w:div>
                <w:div w:id="867525146">
                  <w:marLeft w:val="0"/>
                  <w:marRight w:val="0"/>
                  <w:marTop w:val="0"/>
                  <w:marBottom w:val="0"/>
                  <w:divBdr>
                    <w:top w:val="none" w:sz="0" w:space="0" w:color="auto"/>
                    <w:left w:val="none" w:sz="0" w:space="0" w:color="auto"/>
                    <w:bottom w:val="none" w:sz="0" w:space="0" w:color="auto"/>
                    <w:right w:val="none" w:sz="0" w:space="0" w:color="auto"/>
                  </w:divBdr>
                </w:div>
                <w:div w:id="931664936">
                  <w:marLeft w:val="0"/>
                  <w:marRight w:val="0"/>
                  <w:marTop w:val="0"/>
                  <w:marBottom w:val="0"/>
                  <w:divBdr>
                    <w:top w:val="none" w:sz="0" w:space="0" w:color="auto"/>
                    <w:left w:val="none" w:sz="0" w:space="0" w:color="auto"/>
                    <w:bottom w:val="none" w:sz="0" w:space="0" w:color="auto"/>
                    <w:right w:val="none" w:sz="0" w:space="0" w:color="auto"/>
                  </w:divBdr>
                </w:div>
                <w:div w:id="948196114">
                  <w:marLeft w:val="0"/>
                  <w:marRight w:val="0"/>
                  <w:marTop w:val="0"/>
                  <w:marBottom w:val="0"/>
                  <w:divBdr>
                    <w:top w:val="none" w:sz="0" w:space="0" w:color="auto"/>
                    <w:left w:val="none" w:sz="0" w:space="0" w:color="auto"/>
                    <w:bottom w:val="none" w:sz="0" w:space="0" w:color="auto"/>
                    <w:right w:val="none" w:sz="0" w:space="0" w:color="auto"/>
                  </w:divBdr>
                </w:div>
                <w:div w:id="963080646">
                  <w:marLeft w:val="0"/>
                  <w:marRight w:val="0"/>
                  <w:marTop w:val="0"/>
                  <w:marBottom w:val="0"/>
                  <w:divBdr>
                    <w:top w:val="none" w:sz="0" w:space="0" w:color="auto"/>
                    <w:left w:val="none" w:sz="0" w:space="0" w:color="auto"/>
                    <w:bottom w:val="none" w:sz="0" w:space="0" w:color="auto"/>
                    <w:right w:val="none" w:sz="0" w:space="0" w:color="auto"/>
                  </w:divBdr>
                </w:div>
                <w:div w:id="1006639641">
                  <w:marLeft w:val="0"/>
                  <w:marRight w:val="0"/>
                  <w:marTop w:val="0"/>
                  <w:marBottom w:val="0"/>
                  <w:divBdr>
                    <w:top w:val="none" w:sz="0" w:space="0" w:color="auto"/>
                    <w:left w:val="none" w:sz="0" w:space="0" w:color="auto"/>
                    <w:bottom w:val="none" w:sz="0" w:space="0" w:color="auto"/>
                    <w:right w:val="none" w:sz="0" w:space="0" w:color="auto"/>
                  </w:divBdr>
                </w:div>
                <w:div w:id="1008361654">
                  <w:marLeft w:val="0"/>
                  <w:marRight w:val="0"/>
                  <w:marTop w:val="0"/>
                  <w:marBottom w:val="0"/>
                  <w:divBdr>
                    <w:top w:val="none" w:sz="0" w:space="0" w:color="auto"/>
                    <w:left w:val="none" w:sz="0" w:space="0" w:color="auto"/>
                    <w:bottom w:val="none" w:sz="0" w:space="0" w:color="auto"/>
                    <w:right w:val="none" w:sz="0" w:space="0" w:color="auto"/>
                  </w:divBdr>
                </w:div>
                <w:div w:id="1008871276">
                  <w:marLeft w:val="0"/>
                  <w:marRight w:val="0"/>
                  <w:marTop w:val="0"/>
                  <w:marBottom w:val="0"/>
                  <w:divBdr>
                    <w:top w:val="none" w:sz="0" w:space="0" w:color="auto"/>
                    <w:left w:val="none" w:sz="0" w:space="0" w:color="auto"/>
                    <w:bottom w:val="none" w:sz="0" w:space="0" w:color="auto"/>
                    <w:right w:val="none" w:sz="0" w:space="0" w:color="auto"/>
                  </w:divBdr>
                </w:div>
                <w:div w:id="1075710160">
                  <w:marLeft w:val="0"/>
                  <w:marRight w:val="0"/>
                  <w:marTop w:val="0"/>
                  <w:marBottom w:val="0"/>
                  <w:divBdr>
                    <w:top w:val="none" w:sz="0" w:space="0" w:color="auto"/>
                    <w:left w:val="none" w:sz="0" w:space="0" w:color="auto"/>
                    <w:bottom w:val="none" w:sz="0" w:space="0" w:color="auto"/>
                    <w:right w:val="none" w:sz="0" w:space="0" w:color="auto"/>
                  </w:divBdr>
                </w:div>
                <w:div w:id="1173035559">
                  <w:marLeft w:val="0"/>
                  <w:marRight w:val="0"/>
                  <w:marTop w:val="0"/>
                  <w:marBottom w:val="0"/>
                  <w:divBdr>
                    <w:top w:val="none" w:sz="0" w:space="0" w:color="auto"/>
                    <w:left w:val="none" w:sz="0" w:space="0" w:color="auto"/>
                    <w:bottom w:val="none" w:sz="0" w:space="0" w:color="auto"/>
                    <w:right w:val="none" w:sz="0" w:space="0" w:color="auto"/>
                  </w:divBdr>
                </w:div>
                <w:div w:id="1239826640">
                  <w:marLeft w:val="0"/>
                  <w:marRight w:val="0"/>
                  <w:marTop w:val="0"/>
                  <w:marBottom w:val="0"/>
                  <w:divBdr>
                    <w:top w:val="none" w:sz="0" w:space="0" w:color="auto"/>
                    <w:left w:val="none" w:sz="0" w:space="0" w:color="auto"/>
                    <w:bottom w:val="none" w:sz="0" w:space="0" w:color="auto"/>
                    <w:right w:val="none" w:sz="0" w:space="0" w:color="auto"/>
                  </w:divBdr>
                </w:div>
                <w:div w:id="1279798268">
                  <w:marLeft w:val="0"/>
                  <w:marRight w:val="0"/>
                  <w:marTop w:val="0"/>
                  <w:marBottom w:val="0"/>
                  <w:divBdr>
                    <w:top w:val="none" w:sz="0" w:space="0" w:color="auto"/>
                    <w:left w:val="none" w:sz="0" w:space="0" w:color="auto"/>
                    <w:bottom w:val="none" w:sz="0" w:space="0" w:color="auto"/>
                    <w:right w:val="none" w:sz="0" w:space="0" w:color="auto"/>
                  </w:divBdr>
                </w:div>
                <w:div w:id="1290161420">
                  <w:marLeft w:val="0"/>
                  <w:marRight w:val="0"/>
                  <w:marTop w:val="0"/>
                  <w:marBottom w:val="0"/>
                  <w:divBdr>
                    <w:top w:val="none" w:sz="0" w:space="0" w:color="auto"/>
                    <w:left w:val="none" w:sz="0" w:space="0" w:color="auto"/>
                    <w:bottom w:val="none" w:sz="0" w:space="0" w:color="auto"/>
                    <w:right w:val="none" w:sz="0" w:space="0" w:color="auto"/>
                  </w:divBdr>
                </w:div>
                <w:div w:id="1313757074">
                  <w:marLeft w:val="0"/>
                  <w:marRight w:val="0"/>
                  <w:marTop w:val="0"/>
                  <w:marBottom w:val="0"/>
                  <w:divBdr>
                    <w:top w:val="none" w:sz="0" w:space="0" w:color="auto"/>
                    <w:left w:val="none" w:sz="0" w:space="0" w:color="auto"/>
                    <w:bottom w:val="none" w:sz="0" w:space="0" w:color="auto"/>
                    <w:right w:val="none" w:sz="0" w:space="0" w:color="auto"/>
                  </w:divBdr>
                </w:div>
                <w:div w:id="1381317510">
                  <w:marLeft w:val="0"/>
                  <w:marRight w:val="0"/>
                  <w:marTop w:val="0"/>
                  <w:marBottom w:val="0"/>
                  <w:divBdr>
                    <w:top w:val="none" w:sz="0" w:space="0" w:color="auto"/>
                    <w:left w:val="none" w:sz="0" w:space="0" w:color="auto"/>
                    <w:bottom w:val="none" w:sz="0" w:space="0" w:color="auto"/>
                    <w:right w:val="none" w:sz="0" w:space="0" w:color="auto"/>
                  </w:divBdr>
                </w:div>
                <w:div w:id="1491482285">
                  <w:marLeft w:val="0"/>
                  <w:marRight w:val="0"/>
                  <w:marTop w:val="0"/>
                  <w:marBottom w:val="0"/>
                  <w:divBdr>
                    <w:top w:val="none" w:sz="0" w:space="0" w:color="auto"/>
                    <w:left w:val="none" w:sz="0" w:space="0" w:color="auto"/>
                    <w:bottom w:val="none" w:sz="0" w:space="0" w:color="auto"/>
                    <w:right w:val="none" w:sz="0" w:space="0" w:color="auto"/>
                  </w:divBdr>
                </w:div>
                <w:div w:id="1627815816">
                  <w:marLeft w:val="0"/>
                  <w:marRight w:val="0"/>
                  <w:marTop w:val="0"/>
                  <w:marBottom w:val="0"/>
                  <w:divBdr>
                    <w:top w:val="none" w:sz="0" w:space="0" w:color="auto"/>
                    <w:left w:val="none" w:sz="0" w:space="0" w:color="auto"/>
                    <w:bottom w:val="none" w:sz="0" w:space="0" w:color="auto"/>
                    <w:right w:val="none" w:sz="0" w:space="0" w:color="auto"/>
                  </w:divBdr>
                </w:div>
                <w:div w:id="1631013772">
                  <w:marLeft w:val="0"/>
                  <w:marRight w:val="0"/>
                  <w:marTop w:val="0"/>
                  <w:marBottom w:val="0"/>
                  <w:divBdr>
                    <w:top w:val="none" w:sz="0" w:space="0" w:color="auto"/>
                    <w:left w:val="none" w:sz="0" w:space="0" w:color="auto"/>
                    <w:bottom w:val="none" w:sz="0" w:space="0" w:color="auto"/>
                    <w:right w:val="none" w:sz="0" w:space="0" w:color="auto"/>
                  </w:divBdr>
                </w:div>
                <w:div w:id="1793359134">
                  <w:marLeft w:val="0"/>
                  <w:marRight w:val="0"/>
                  <w:marTop w:val="0"/>
                  <w:marBottom w:val="0"/>
                  <w:divBdr>
                    <w:top w:val="none" w:sz="0" w:space="0" w:color="auto"/>
                    <w:left w:val="none" w:sz="0" w:space="0" w:color="auto"/>
                    <w:bottom w:val="none" w:sz="0" w:space="0" w:color="auto"/>
                    <w:right w:val="none" w:sz="0" w:space="0" w:color="auto"/>
                  </w:divBdr>
                </w:div>
                <w:div w:id="1849295959">
                  <w:marLeft w:val="0"/>
                  <w:marRight w:val="0"/>
                  <w:marTop w:val="0"/>
                  <w:marBottom w:val="0"/>
                  <w:divBdr>
                    <w:top w:val="none" w:sz="0" w:space="0" w:color="auto"/>
                    <w:left w:val="none" w:sz="0" w:space="0" w:color="auto"/>
                    <w:bottom w:val="none" w:sz="0" w:space="0" w:color="auto"/>
                    <w:right w:val="none" w:sz="0" w:space="0" w:color="auto"/>
                  </w:divBdr>
                </w:div>
                <w:div w:id="1889148905">
                  <w:marLeft w:val="0"/>
                  <w:marRight w:val="0"/>
                  <w:marTop w:val="0"/>
                  <w:marBottom w:val="0"/>
                  <w:divBdr>
                    <w:top w:val="none" w:sz="0" w:space="0" w:color="auto"/>
                    <w:left w:val="none" w:sz="0" w:space="0" w:color="auto"/>
                    <w:bottom w:val="none" w:sz="0" w:space="0" w:color="auto"/>
                    <w:right w:val="none" w:sz="0" w:space="0" w:color="auto"/>
                  </w:divBdr>
                </w:div>
                <w:div w:id="1978417790">
                  <w:marLeft w:val="0"/>
                  <w:marRight w:val="0"/>
                  <w:marTop w:val="0"/>
                  <w:marBottom w:val="0"/>
                  <w:divBdr>
                    <w:top w:val="none" w:sz="0" w:space="0" w:color="auto"/>
                    <w:left w:val="none" w:sz="0" w:space="0" w:color="auto"/>
                    <w:bottom w:val="none" w:sz="0" w:space="0" w:color="auto"/>
                    <w:right w:val="none" w:sz="0" w:space="0" w:color="auto"/>
                  </w:divBdr>
                </w:div>
                <w:div w:id="2053505307">
                  <w:marLeft w:val="0"/>
                  <w:marRight w:val="0"/>
                  <w:marTop w:val="0"/>
                  <w:marBottom w:val="0"/>
                  <w:divBdr>
                    <w:top w:val="none" w:sz="0" w:space="0" w:color="auto"/>
                    <w:left w:val="none" w:sz="0" w:space="0" w:color="auto"/>
                    <w:bottom w:val="none" w:sz="0" w:space="0" w:color="auto"/>
                    <w:right w:val="none" w:sz="0" w:space="0" w:color="auto"/>
                  </w:divBdr>
                </w:div>
                <w:div w:id="2058582180">
                  <w:marLeft w:val="0"/>
                  <w:marRight w:val="0"/>
                  <w:marTop w:val="0"/>
                  <w:marBottom w:val="0"/>
                  <w:divBdr>
                    <w:top w:val="none" w:sz="0" w:space="0" w:color="auto"/>
                    <w:left w:val="none" w:sz="0" w:space="0" w:color="auto"/>
                    <w:bottom w:val="none" w:sz="0" w:space="0" w:color="auto"/>
                    <w:right w:val="none" w:sz="0" w:space="0" w:color="auto"/>
                  </w:divBdr>
                </w:div>
                <w:div w:id="2100565892">
                  <w:marLeft w:val="0"/>
                  <w:marRight w:val="0"/>
                  <w:marTop w:val="0"/>
                  <w:marBottom w:val="0"/>
                  <w:divBdr>
                    <w:top w:val="none" w:sz="0" w:space="0" w:color="auto"/>
                    <w:left w:val="none" w:sz="0" w:space="0" w:color="auto"/>
                    <w:bottom w:val="none" w:sz="0" w:space="0" w:color="auto"/>
                    <w:right w:val="none" w:sz="0" w:space="0" w:color="auto"/>
                  </w:divBdr>
                </w:div>
                <w:div w:id="2113818888">
                  <w:marLeft w:val="0"/>
                  <w:marRight w:val="0"/>
                  <w:marTop w:val="0"/>
                  <w:marBottom w:val="0"/>
                  <w:divBdr>
                    <w:top w:val="none" w:sz="0" w:space="0" w:color="auto"/>
                    <w:left w:val="none" w:sz="0" w:space="0" w:color="auto"/>
                    <w:bottom w:val="none" w:sz="0" w:space="0" w:color="auto"/>
                    <w:right w:val="none" w:sz="0" w:space="0" w:color="auto"/>
                  </w:divBdr>
                </w:div>
                <w:div w:id="21151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9215">
          <w:marLeft w:val="0"/>
          <w:marRight w:val="0"/>
          <w:marTop w:val="0"/>
          <w:marBottom w:val="0"/>
          <w:divBdr>
            <w:top w:val="none" w:sz="0" w:space="0" w:color="auto"/>
            <w:left w:val="none" w:sz="0" w:space="0" w:color="auto"/>
            <w:bottom w:val="none" w:sz="0" w:space="0" w:color="auto"/>
            <w:right w:val="none" w:sz="0" w:space="0" w:color="auto"/>
          </w:divBdr>
          <w:divsChild>
            <w:div w:id="153187292">
              <w:marLeft w:val="0"/>
              <w:marRight w:val="0"/>
              <w:marTop w:val="0"/>
              <w:marBottom w:val="0"/>
              <w:divBdr>
                <w:top w:val="none" w:sz="0" w:space="0" w:color="auto"/>
                <w:left w:val="none" w:sz="0" w:space="0" w:color="auto"/>
                <w:bottom w:val="none" w:sz="0" w:space="0" w:color="auto"/>
                <w:right w:val="none" w:sz="0" w:space="0" w:color="auto"/>
              </w:divBdr>
              <w:divsChild>
                <w:div w:id="117380843">
                  <w:marLeft w:val="0"/>
                  <w:marRight w:val="0"/>
                  <w:marTop w:val="0"/>
                  <w:marBottom w:val="0"/>
                  <w:divBdr>
                    <w:top w:val="none" w:sz="0" w:space="0" w:color="auto"/>
                    <w:left w:val="none" w:sz="0" w:space="0" w:color="auto"/>
                    <w:bottom w:val="none" w:sz="0" w:space="0" w:color="auto"/>
                    <w:right w:val="none" w:sz="0" w:space="0" w:color="auto"/>
                  </w:divBdr>
                </w:div>
                <w:div w:id="493301102">
                  <w:marLeft w:val="0"/>
                  <w:marRight w:val="0"/>
                  <w:marTop w:val="0"/>
                  <w:marBottom w:val="0"/>
                  <w:divBdr>
                    <w:top w:val="none" w:sz="0" w:space="0" w:color="auto"/>
                    <w:left w:val="none" w:sz="0" w:space="0" w:color="auto"/>
                    <w:bottom w:val="none" w:sz="0" w:space="0" w:color="auto"/>
                    <w:right w:val="none" w:sz="0" w:space="0" w:color="auto"/>
                  </w:divBdr>
                </w:div>
                <w:div w:id="1199128667">
                  <w:marLeft w:val="0"/>
                  <w:marRight w:val="0"/>
                  <w:marTop w:val="0"/>
                  <w:marBottom w:val="0"/>
                  <w:divBdr>
                    <w:top w:val="none" w:sz="0" w:space="0" w:color="auto"/>
                    <w:left w:val="none" w:sz="0" w:space="0" w:color="auto"/>
                    <w:bottom w:val="none" w:sz="0" w:space="0" w:color="auto"/>
                    <w:right w:val="none" w:sz="0" w:space="0" w:color="auto"/>
                  </w:divBdr>
                </w:div>
                <w:div w:id="1303149518">
                  <w:marLeft w:val="0"/>
                  <w:marRight w:val="0"/>
                  <w:marTop w:val="0"/>
                  <w:marBottom w:val="0"/>
                  <w:divBdr>
                    <w:top w:val="none" w:sz="0" w:space="0" w:color="auto"/>
                    <w:left w:val="none" w:sz="0" w:space="0" w:color="auto"/>
                    <w:bottom w:val="none" w:sz="0" w:space="0" w:color="auto"/>
                    <w:right w:val="none" w:sz="0" w:space="0" w:color="auto"/>
                  </w:divBdr>
                </w:div>
                <w:div w:id="1308049104">
                  <w:marLeft w:val="0"/>
                  <w:marRight w:val="0"/>
                  <w:marTop w:val="0"/>
                  <w:marBottom w:val="0"/>
                  <w:divBdr>
                    <w:top w:val="none" w:sz="0" w:space="0" w:color="auto"/>
                    <w:left w:val="none" w:sz="0" w:space="0" w:color="auto"/>
                    <w:bottom w:val="none" w:sz="0" w:space="0" w:color="auto"/>
                    <w:right w:val="none" w:sz="0" w:space="0" w:color="auto"/>
                  </w:divBdr>
                </w:div>
                <w:div w:id="1420175817">
                  <w:marLeft w:val="0"/>
                  <w:marRight w:val="0"/>
                  <w:marTop w:val="0"/>
                  <w:marBottom w:val="0"/>
                  <w:divBdr>
                    <w:top w:val="none" w:sz="0" w:space="0" w:color="auto"/>
                    <w:left w:val="none" w:sz="0" w:space="0" w:color="auto"/>
                    <w:bottom w:val="none" w:sz="0" w:space="0" w:color="auto"/>
                    <w:right w:val="none" w:sz="0" w:space="0" w:color="auto"/>
                  </w:divBdr>
                </w:div>
                <w:div w:id="1577321929">
                  <w:marLeft w:val="0"/>
                  <w:marRight w:val="0"/>
                  <w:marTop w:val="0"/>
                  <w:marBottom w:val="0"/>
                  <w:divBdr>
                    <w:top w:val="none" w:sz="0" w:space="0" w:color="auto"/>
                    <w:left w:val="none" w:sz="0" w:space="0" w:color="auto"/>
                    <w:bottom w:val="none" w:sz="0" w:space="0" w:color="auto"/>
                    <w:right w:val="none" w:sz="0" w:space="0" w:color="auto"/>
                  </w:divBdr>
                </w:div>
                <w:div w:id="1600407522">
                  <w:marLeft w:val="0"/>
                  <w:marRight w:val="0"/>
                  <w:marTop w:val="0"/>
                  <w:marBottom w:val="0"/>
                  <w:divBdr>
                    <w:top w:val="none" w:sz="0" w:space="0" w:color="auto"/>
                    <w:left w:val="none" w:sz="0" w:space="0" w:color="auto"/>
                    <w:bottom w:val="none" w:sz="0" w:space="0" w:color="auto"/>
                    <w:right w:val="none" w:sz="0" w:space="0" w:color="auto"/>
                  </w:divBdr>
                </w:div>
                <w:div w:id="1763260185">
                  <w:marLeft w:val="0"/>
                  <w:marRight w:val="0"/>
                  <w:marTop w:val="0"/>
                  <w:marBottom w:val="0"/>
                  <w:divBdr>
                    <w:top w:val="none" w:sz="0" w:space="0" w:color="auto"/>
                    <w:left w:val="none" w:sz="0" w:space="0" w:color="auto"/>
                    <w:bottom w:val="none" w:sz="0" w:space="0" w:color="auto"/>
                    <w:right w:val="none" w:sz="0" w:space="0" w:color="auto"/>
                  </w:divBdr>
                </w:div>
                <w:div w:id="1962154021">
                  <w:marLeft w:val="0"/>
                  <w:marRight w:val="0"/>
                  <w:marTop w:val="0"/>
                  <w:marBottom w:val="0"/>
                  <w:divBdr>
                    <w:top w:val="none" w:sz="0" w:space="0" w:color="auto"/>
                    <w:left w:val="none" w:sz="0" w:space="0" w:color="auto"/>
                    <w:bottom w:val="none" w:sz="0" w:space="0" w:color="auto"/>
                    <w:right w:val="none" w:sz="0" w:space="0" w:color="auto"/>
                  </w:divBdr>
                </w:div>
                <w:div w:id="20933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1660">
      <w:bodyDiv w:val="1"/>
      <w:marLeft w:val="0"/>
      <w:marRight w:val="0"/>
      <w:marTop w:val="0"/>
      <w:marBottom w:val="0"/>
      <w:divBdr>
        <w:top w:val="none" w:sz="0" w:space="0" w:color="auto"/>
        <w:left w:val="none" w:sz="0" w:space="0" w:color="auto"/>
        <w:bottom w:val="none" w:sz="0" w:space="0" w:color="auto"/>
        <w:right w:val="none" w:sz="0" w:space="0" w:color="auto"/>
      </w:divBdr>
    </w:div>
    <w:div w:id="1010370191">
      <w:bodyDiv w:val="1"/>
      <w:marLeft w:val="0"/>
      <w:marRight w:val="0"/>
      <w:marTop w:val="0"/>
      <w:marBottom w:val="0"/>
      <w:divBdr>
        <w:top w:val="none" w:sz="0" w:space="0" w:color="auto"/>
        <w:left w:val="none" w:sz="0" w:space="0" w:color="auto"/>
        <w:bottom w:val="none" w:sz="0" w:space="0" w:color="auto"/>
        <w:right w:val="none" w:sz="0" w:space="0" w:color="auto"/>
      </w:divBdr>
      <w:divsChild>
        <w:div w:id="1641885377">
          <w:marLeft w:val="0"/>
          <w:marRight w:val="0"/>
          <w:marTop w:val="105"/>
          <w:marBottom w:val="0"/>
          <w:divBdr>
            <w:top w:val="none" w:sz="0" w:space="0" w:color="auto"/>
            <w:left w:val="none" w:sz="0" w:space="0" w:color="auto"/>
            <w:bottom w:val="none" w:sz="0" w:space="0" w:color="auto"/>
            <w:right w:val="none" w:sz="0" w:space="0" w:color="auto"/>
          </w:divBdr>
        </w:div>
      </w:divsChild>
    </w:div>
    <w:div w:id="1015959339">
      <w:bodyDiv w:val="1"/>
      <w:marLeft w:val="0"/>
      <w:marRight w:val="0"/>
      <w:marTop w:val="0"/>
      <w:marBottom w:val="0"/>
      <w:divBdr>
        <w:top w:val="none" w:sz="0" w:space="0" w:color="auto"/>
        <w:left w:val="none" w:sz="0" w:space="0" w:color="auto"/>
        <w:bottom w:val="none" w:sz="0" w:space="0" w:color="auto"/>
        <w:right w:val="none" w:sz="0" w:space="0" w:color="auto"/>
      </w:divBdr>
      <w:divsChild>
        <w:div w:id="1706952309">
          <w:marLeft w:val="360"/>
          <w:marRight w:val="0"/>
          <w:marTop w:val="0"/>
          <w:marBottom w:val="0"/>
          <w:divBdr>
            <w:top w:val="none" w:sz="0" w:space="0" w:color="auto"/>
            <w:left w:val="none" w:sz="0" w:space="0" w:color="auto"/>
            <w:bottom w:val="none" w:sz="0" w:space="0" w:color="auto"/>
            <w:right w:val="none" w:sz="0" w:space="0" w:color="auto"/>
          </w:divBdr>
        </w:div>
      </w:divsChild>
    </w:div>
    <w:div w:id="1029338747">
      <w:bodyDiv w:val="1"/>
      <w:marLeft w:val="0"/>
      <w:marRight w:val="0"/>
      <w:marTop w:val="0"/>
      <w:marBottom w:val="0"/>
      <w:divBdr>
        <w:top w:val="none" w:sz="0" w:space="0" w:color="auto"/>
        <w:left w:val="none" w:sz="0" w:space="0" w:color="auto"/>
        <w:bottom w:val="none" w:sz="0" w:space="0" w:color="auto"/>
        <w:right w:val="none" w:sz="0" w:space="0" w:color="auto"/>
      </w:divBdr>
    </w:div>
    <w:div w:id="1061945500">
      <w:bodyDiv w:val="1"/>
      <w:marLeft w:val="0"/>
      <w:marRight w:val="0"/>
      <w:marTop w:val="0"/>
      <w:marBottom w:val="0"/>
      <w:divBdr>
        <w:top w:val="none" w:sz="0" w:space="0" w:color="auto"/>
        <w:left w:val="none" w:sz="0" w:space="0" w:color="auto"/>
        <w:bottom w:val="none" w:sz="0" w:space="0" w:color="auto"/>
        <w:right w:val="none" w:sz="0" w:space="0" w:color="auto"/>
      </w:divBdr>
      <w:divsChild>
        <w:div w:id="1250196078">
          <w:marLeft w:val="0"/>
          <w:marRight w:val="0"/>
          <w:marTop w:val="150"/>
          <w:marBottom w:val="0"/>
          <w:divBdr>
            <w:top w:val="single" w:sz="6" w:space="8" w:color="DDDDDD"/>
            <w:left w:val="single" w:sz="6" w:space="0" w:color="DDDDDD"/>
            <w:bottom w:val="single" w:sz="6" w:space="6" w:color="DDDDDD"/>
            <w:right w:val="single" w:sz="6" w:space="6" w:color="DDDDDD"/>
          </w:divBdr>
        </w:div>
        <w:div w:id="1986811439">
          <w:marLeft w:val="0"/>
          <w:marRight w:val="0"/>
          <w:marTop w:val="105"/>
          <w:marBottom w:val="0"/>
          <w:divBdr>
            <w:top w:val="none" w:sz="0" w:space="0" w:color="auto"/>
            <w:left w:val="none" w:sz="0" w:space="0" w:color="auto"/>
            <w:bottom w:val="none" w:sz="0" w:space="0" w:color="auto"/>
            <w:right w:val="none" w:sz="0" w:space="0" w:color="auto"/>
          </w:divBdr>
        </w:div>
      </w:divsChild>
    </w:div>
    <w:div w:id="1098134514">
      <w:bodyDiv w:val="1"/>
      <w:marLeft w:val="0"/>
      <w:marRight w:val="0"/>
      <w:marTop w:val="0"/>
      <w:marBottom w:val="0"/>
      <w:divBdr>
        <w:top w:val="none" w:sz="0" w:space="0" w:color="auto"/>
        <w:left w:val="none" w:sz="0" w:space="0" w:color="auto"/>
        <w:bottom w:val="none" w:sz="0" w:space="0" w:color="auto"/>
        <w:right w:val="none" w:sz="0" w:space="0" w:color="auto"/>
      </w:divBdr>
      <w:divsChild>
        <w:div w:id="1836991181">
          <w:marLeft w:val="0"/>
          <w:marRight w:val="0"/>
          <w:marTop w:val="105"/>
          <w:marBottom w:val="0"/>
          <w:divBdr>
            <w:top w:val="none" w:sz="0" w:space="0" w:color="auto"/>
            <w:left w:val="none" w:sz="0" w:space="0" w:color="auto"/>
            <w:bottom w:val="none" w:sz="0" w:space="0" w:color="auto"/>
            <w:right w:val="none" w:sz="0" w:space="0" w:color="auto"/>
          </w:divBdr>
        </w:div>
      </w:divsChild>
    </w:div>
    <w:div w:id="1246500700">
      <w:bodyDiv w:val="1"/>
      <w:marLeft w:val="0"/>
      <w:marRight w:val="0"/>
      <w:marTop w:val="0"/>
      <w:marBottom w:val="0"/>
      <w:divBdr>
        <w:top w:val="none" w:sz="0" w:space="0" w:color="auto"/>
        <w:left w:val="none" w:sz="0" w:space="0" w:color="auto"/>
        <w:bottom w:val="none" w:sz="0" w:space="0" w:color="auto"/>
        <w:right w:val="none" w:sz="0" w:space="0" w:color="auto"/>
      </w:divBdr>
    </w:div>
    <w:div w:id="1263608685">
      <w:bodyDiv w:val="1"/>
      <w:marLeft w:val="0"/>
      <w:marRight w:val="0"/>
      <w:marTop w:val="0"/>
      <w:marBottom w:val="0"/>
      <w:divBdr>
        <w:top w:val="none" w:sz="0" w:space="0" w:color="auto"/>
        <w:left w:val="none" w:sz="0" w:space="0" w:color="auto"/>
        <w:bottom w:val="none" w:sz="0" w:space="0" w:color="auto"/>
        <w:right w:val="none" w:sz="0" w:space="0" w:color="auto"/>
      </w:divBdr>
    </w:div>
    <w:div w:id="1274288663">
      <w:bodyDiv w:val="1"/>
      <w:marLeft w:val="0"/>
      <w:marRight w:val="0"/>
      <w:marTop w:val="0"/>
      <w:marBottom w:val="0"/>
      <w:divBdr>
        <w:top w:val="none" w:sz="0" w:space="0" w:color="auto"/>
        <w:left w:val="none" w:sz="0" w:space="0" w:color="auto"/>
        <w:bottom w:val="none" w:sz="0" w:space="0" w:color="auto"/>
        <w:right w:val="none" w:sz="0" w:space="0" w:color="auto"/>
      </w:divBdr>
    </w:div>
    <w:div w:id="1307473614">
      <w:bodyDiv w:val="1"/>
      <w:marLeft w:val="0"/>
      <w:marRight w:val="0"/>
      <w:marTop w:val="0"/>
      <w:marBottom w:val="0"/>
      <w:divBdr>
        <w:top w:val="none" w:sz="0" w:space="0" w:color="auto"/>
        <w:left w:val="none" w:sz="0" w:space="0" w:color="auto"/>
        <w:bottom w:val="none" w:sz="0" w:space="0" w:color="auto"/>
        <w:right w:val="none" w:sz="0" w:space="0" w:color="auto"/>
      </w:divBdr>
    </w:div>
    <w:div w:id="1441610641">
      <w:bodyDiv w:val="1"/>
      <w:marLeft w:val="0"/>
      <w:marRight w:val="0"/>
      <w:marTop w:val="0"/>
      <w:marBottom w:val="0"/>
      <w:divBdr>
        <w:top w:val="none" w:sz="0" w:space="0" w:color="auto"/>
        <w:left w:val="none" w:sz="0" w:space="0" w:color="auto"/>
        <w:bottom w:val="none" w:sz="0" w:space="0" w:color="auto"/>
        <w:right w:val="none" w:sz="0" w:space="0" w:color="auto"/>
      </w:divBdr>
    </w:div>
    <w:div w:id="1445005992">
      <w:bodyDiv w:val="1"/>
      <w:marLeft w:val="0"/>
      <w:marRight w:val="0"/>
      <w:marTop w:val="0"/>
      <w:marBottom w:val="0"/>
      <w:divBdr>
        <w:top w:val="none" w:sz="0" w:space="0" w:color="auto"/>
        <w:left w:val="none" w:sz="0" w:space="0" w:color="auto"/>
        <w:bottom w:val="none" w:sz="0" w:space="0" w:color="auto"/>
        <w:right w:val="none" w:sz="0" w:space="0" w:color="auto"/>
      </w:divBdr>
    </w:div>
    <w:div w:id="1582332834">
      <w:bodyDiv w:val="1"/>
      <w:marLeft w:val="0"/>
      <w:marRight w:val="0"/>
      <w:marTop w:val="0"/>
      <w:marBottom w:val="0"/>
      <w:divBdr>
        <w:top w:val="none" w:sz="0" w:space="0" w:color="auto"/>
        <w:left w:val="none" w:sz="0" w:space="0" w:color="auto"/>
        <w:bottom w:val="none" w:sz="0" w:space="0" w:color="auto"/>
        <w:right w:val="none" w:sz="0" w:space="0" w:color="auto"/>
      </w:divBdr>
    </w:div>
    <w:div w:id="1591502172">
      <w:bodyDiv w:val="1"/>
      <w:marLeft w:val="0"/>
      <w:marRight w:val="0"/>
      <w:marTop w:val="0"/>
      <w:marBottom w:val="0"/>
      <w:divBdr>
        <w:top w:val="none" w:sz="0" w:space="0" w:color="auto"/>
        <w:left w:val="none" w:sz="0" w:space="0" w:color="auto"/>
        <w:bottom w:val="none" w:sz="0" w:space="0" w:color="auto"/>
        <w:right w:val="none" w:sz="0" w:space="0" w:color="auto"/>
      </w:divBdr>
    </w:div>
    <w:div w:id="1595750039">
      <w:bodyDiv w:val="1"/>
      <w:marLeft w:val="0"/>
      <w:marRight w:val="0"/>
      <w:marTop w:val="0"/>
      <w:marBottom w:val="0"/>
      <w:divBdr>
        <w:top w:val="none" w:sz="0" w:space="0" w:color="auto"/>
        <w:left w:val="none" w:sz="0" w:space="0" w:color="auto"/>
        <w:bottom w:val="none" w:sz="0" w:space="0" w:color="auto"/>
        <w:right w:val="none" w:sz="0" w:space="0" w:color="auto"/>
      </w:divBdr>
    </w:div>
    <w:div w:id="1666469282">
      <w:bodyDiv w:val="1"/>
      <w:marLeft w:val="0"/>
      <w:marRight w:val="0"/>
      <w:marTop w:val="0"/>
      <w:marBottom w:val="0"/>
      <w:divBdr>
        <w:top w:val="none" w:sz="0" w:space="0" w:color="auto"/>
        <w:left w:val="none" w:sz="0" w:space="0" w:color="auto"/>
        <w:bottom w:val="none" w:sz="0" w:space="0" w:color="auto"/>
        <w:right w:val="none" w:sz="0" w:space="0" w:color="auto"/>
      </w:divBdr>
    </w:div>
    <w:div w:id="1695494559">
      <w:bodyDiv w:val="1"/>
      <w:marLeft w:val="0"/>
      <w:marRight w:val="0"/>
      <w:marTop w:val="0"/>
      <w:marBottom w:val="0"/>
      <w:divBdr>
        <w:top w:val="none" w:sz="0" w:space="0" w:color="auto"/>
        <w:left w:val="none" w:sz="0" w:space="0" w:color="auto"/>
        <w:bottom w:val="none" w:sz="0" w:space="0" w:color="auto"/>
        <w:right w:val="none" w:sz="0" w:space="0" w:color="auto"/>
      </w:divBdr>
    </w:div>
    <w:div w:id="198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09730207">
          <w:marLeft w:val="360"/>
          <w:marRight w:val="0"/>
          <w:marTop w:val="0"/>
          <w:marBottom w:val="0"/>
          <w:divBdr>
            <w:top w:val="none" w:sz="0" w:space="0" w:color="auto"/>
            <w:left w:val="none" w:sz="0" w:space="0" w:color="auto"/>
            <w:bottom w:val="none" w:sz="0" w:space="0" w:color="auto"/>
            <w:right w:val="none" w:sz="0" w:space="0" w:color="auto"/>
          </w:divBdr>
        </w:div>
      </w:divsChild>
    </w:div>
    <w:div w:id="20980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orientamenti-per-la-pianificazione-anticorruzione-e-trasparenza-2022"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trasparenza.segrateservizi.it/?p=573545" TargetMode="External"/><Relationship Id="rId14" Type="http://schemas.openxmlformats.org/officeDocument/2006/relationships/image" Target="media/image5.png"/><Relationship Id="rId22" Type="http://schemas.openxmlformats.org/officeDocument/2006/relationships/hyperlink" Target="http://www.segrateservi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85E2-3576-424F-92AF-69AC2F7D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46</Pages>
  <Words>15419</Words>
  <Characters>87891</Characters>
  <Application>Microsoft Office Word</Application>
  <DocSecurity>0</DocSecurity>
  <Lines>732</Lines>
  <Paragraphs>206</Paragraphs>
  <ScaleCrop>false</ScaleCrop>
  <HeadingPairs>
    <vt:vector size="2" baseType="variant">
      <vt:variant>
        <vt:lpstr>Titolo</vt:lpstr>
      </vt:variant>
      <vt:variant>
        <vt:i4>1</vt:i4>
      </vt:variant>
    </vt:vector>
  </HeadingPairs>
  <TitlesOfParts>
    <vt:vector size="1" baseType="lpstr">
      <vt:lpstr>Piano triennale anticorruzione - Entionline</vt:lpstr>
    </vt:vector>
  </TitlesOfParts>
  <Company/>
  <LinksUpToDate>false</LinksUpToDate>
  <CharactersWithSpaces>103104</CharactersWithSpaces>
  <SharedDoc>false</SharedDoc>
  <HLinks>
    <vt:vector size="318" baseType="variant">
      <vt:variant>
        <vt:i4>524379</vt:i4>
      </vt:variant>
      <vt:variant>
        <vt:i4>309</vt:i4>
      </vt:variant>
      <vt:variant>
        <vt:i4>0</vt:i4>
      </vt:variant>
      <vt:variant>
        <vt:i4>5</vt:i4>
      </vt:variant>
      <vt:variant>
        <vt:lpwstr>http://www.segrateservizi.it/</vt:lpwstr>
      </vt:variant>
      <vt:variant>
        <vt:lpwstr/>
      </vt:variant>
      <vt:variant>
        <vt:i4>2949205</vt:i4>
      </vt:variant>
      <vt:variant>
        <vt:i4>306</vt:i4>
      </vt:variant>
      <vt:variant>
        <vt:i4>0</vt:i4>
      </vt:variant>
      <vt:variant>
        <vt:i4>5</vt:i4>
      </vt:variant>
      <vt:variant>
        <vt:lpwstr>http://www.anticorruzione.it/portal/public/classic/Comunicazione/News/_news?id=92c078420a7780425f5fda96b5594eeb</vt:lpwstr>
      </vt:variant>
      <vt:variant>
        <vt:lpwstr/>
      </vt:variant>
      <vt:variant>
        <vt:i4>7929961</vt:i4>
      </vt:variant>
      <vt:variant>
        <vt:i4>303</vt:i4>
      </vt:variant>
      <vt:variant>
        <vt:i4>0</vt:i4>
      </vt:variant>
      <vt:variant>
        <vt:i4>5</vt:i4>
      </vt:variant>
      <vt:variant>
        <vt:lpwstr>http://trasparenza.segrateservizi.it/?cat=19335</vt:lpwstr>
      </vt:variant>
      <vt:variant>
        <vt:lpwstr/>
      </vt:variant>
      <vt:variant>
        <vt:i4>1376306</vt:i4>
      </vt:variant>
      <vt:variant>
        <vt:i4>296</vt:i4>
      </vt:variant>
      <vt:variant>
        <vt:i4>0</vt:i4>
      </vt:variant>
      <vt:variant>
        <vt:i4>5</vt:i4>
      </vt:variant>
      <vt:variant>
        <vt:lpwstr/>
      </vt:variant>
      <vt:variant>
        <vt:lpwstr>_Toc66868143</vt:lpwstr>
      </vt:variant>
      <vt:variant>
        <vt:i4>1310770</vt:i4>
      </vt:variant>
      <vt:variant>
        <vt:i4>290</vt:i4>
      </vt:variant>
      <vt:variant>
        <vt:i4>0</vt:i4>
      </vt:variant>
      <vt:variant>
        <vt:i4>5</vt:i4>
      </vt:variant>
      <vt:variant>
        <vt:lpwstr/>
      </vt:variant>
      <vt:variant>
        <vt:lpwstr>_Toc66868142</vt:lpwstr>
      </vt:variant>
      <vt:variant>
        <vt:i4>1507378</vt:i4>
      </vt:variant>
      <vt:variant>
        <vt:i4>284</vt:i4>
      </vt:variant>
      <vt:variant>
        <vt:i4>0</vt:i4>
      </vt:variant>
      <vt:variant>
        <vt:i4>5</vt:i4>
      </vt:variant>
      <vt:variant>
        <vt:lpwstr/>
      </vt:variant>
      <vt:variant>
        <vt:lpwstr>_Toc66868141</vt:lpwstr>
      </vt:variant>
      <vt:variant>
        <vt:i4>1441842</vt:i4>
      </vt:variant>
      <vt:variant>
        <vt:i4>278</vt:i4>
      </vt:variant>
      <vt:variant>
        <vt:i4>0</vt:i4>
      </vt:variant>
      <vt:variant>
        <vt:i4>5</vt:i4>
      </vt:variant>
      <vt:variant>
        <vt:lpwstr/>
      </vt:variant>
      <vt:variant>
        <vt:lpwstr>_Toc66868140</vt:lpwstr>
      </vt:variant>
      <vt:variant>
        <vt:i4>2031669</vt:i4>
      </vt:variant>
      <vt:variant>
        <vt:i4>272</vt:i4>
      </vt:variant>
      <vt:variant>
        <vt:i4>0</vt:i4>
      </vt:variant>
      <vt:variant>
        <vt:i4>5</vt:i4>
      </vt:variant>
      <vt:variant>
        <vt:lpwstr/>
      </vt:variant>
      <vt:variant>
        <vt:lpwstr>_Toc66868139</vt:lpwstr>
      </vt:variant>
      <vt:variant>
        <vt:i4>1966133</vt:i4>
      </vt:variant>
      <vt:variant>
        <vt:i4>266</vt:i4>
      </vt:variant>
      <vt:variant>
        <vt:i4>0</vt:i4>
      </vt:variant>
      <vt:variant>
        <vt:i4>5</vt:i4>
      </vt:variant>
      <vt:variant>
        <vt:lpwstr/>
      </vt:variant>
      <vt:variant>
        <vt:lpwstr>_Toc66868138</vt:lpwstr>
      </vt:variant>
      <vt:variant>
        <vt:i4>1114165</vt:i4>
      </vt:variant>
      <vt:variant>
        <vt:i4>260</vt:i4>
      </vt:variant>
      <vt:variant>
        <vt:i4>0</vt:i4>
      </vt:variant>
      <vt:variant>
        <vt:i4>5</vt:i4>
      </vt:variant>
      <vt:variant>
        <vt:lpwstr/>
      </vt:variant>
      <vt:variant>
        <vt:lpwstr>_Toc66868137</vt:lpwstr>
      </vt:variant>
      <vt:variant>
        <vt:i4>1048629</vt:i4>
      </vt:variant>
      <vt:variant>
        <vt:i4>254</vt:i4>
      </vt:variant>
      <vt:variant>
        <vt:i4>0</vt:i4>
      </vt:variant>
      <vt:variant>
        <vt:i4>5</vt:i4>
      </vt:variant>
      <vt:variant>
        <vt:lpwstr/>
      </vt:variant>
      <vt:variant>
        <vt:lpwstr>_Toc66868136</vt:lpwstr>
      </vt:variant>
      <vt:variant>
        <vt:i4>1245237</vt:i4>
      </vt:variant>
      <vt:variant>
        <vt:i4>248</vt:i4>
      </vt:variant>
      <vt:variant>
        <vt:i4>0</vt:i4>
      </vt:variant>
      <vt:variant>
        <vt:i4>5</vt:i4>
      </vt:variant>
      <vt:variant>
        <vt:lpwstr/>
      </vt:variant>
      <vt:variant>
        <vt:lpwstr>_Toc66868135</vt:lpwstr>
      </vt:variant>
      <vt:variant>
        <vt:i4>1179701</vt:i4>
      </vt:variant>
      <vt:variant>
        <vt:i4>242</vt:i4>
      </vt:variant>
      <vt:variant>
        <vt:i4>0</vt:i4>
      </vt:variant>
      <vt:variant>
        <vt:i4>5</vt:i4>
      </vt:variant>
      <vt:variant>
        <vt:lpwstr/>
      </vt:variant>
      <vt:variant>
        <vt:lpwstr>_Toc66868134</vt:lpwstr>
      </vt:variant>
      <vt:variant>
        <vt:i4>1376309</vt:i4>
      </vt:variant>
      <vt:variant>
        <vt:i4>236</vt:i4>
      </vt:variant>
      <vt:variant>
        <vt:i4>0</vt:i4>
      </vt:variant>
      <vt:variant>
        <vt:i4>5</vt:i4>
      </vt:variant>
      <vt:variant>
        <vt:lpwstr/>
      </vt:variant>
      <vt:variant>
        <vt:lpwstr>_Toc66868133</vt:lpwstr>
      </vt:variant>
      <vt:variant>
        <vt:i4>1310773</vt:i4>
      </vt:variant>
      <vt:variant>
        <vt:i4>230</vt:i4>
      </vt:variant>
      <vt:variant>
        <vt:i4>0</vt:i4>
      </vt:variant>
      <vt:variant>
        <vt:i4>5</vt:i4>
      </vt:variant>
      <vt:variant>
        <vt:lpwstr/>
      </vt:variant>
      <vt:variant>
        <vt:lpwstr>_Toc66868132</vt:lpwstr>
      </vt:variant>
      <vt:variant>
        <vt:i4>1507381</vt:i4>
      </vt:variant>
      <vt:variant>
        <vt:i4>224</vt:i4>
      </vt:variant>
      <vt:variant>
        <vt:i4>0</vt:i4>
      </vt:variant>
      <vt:variant>
        <vt:i4>5</vt:i4>
      </vt:variant>
      <vt:variant>
        <vt:lpwstr/>
      </vt:variant>
      <vt:variant>
        <vt:lpwstr>_Toc66868131</vt:lpwstr>
      </vt:variant>
      <vt:variant>
        <vt:i4>1441845</vt:i4>
      </vt:variant>
      <vt:variant>
        <vt:i4>218</vt:i4>
      </vt:variant>
      <vt:variant>
        <vt:i4>0</vt:i4>
      </vt:variant>
      <vt:variant>
        <vt:i4>5</vt:i4>
      </vt:variant>
      <vt:variant>
        <vt:lpwstr/>
      </vt:variant>
      <vt:variant>
        <vt:lpwstr>_Toc66868130</vt:lpwstr>
      </vt:variant>
      <vt:variant>
        <vt:i4>2031668</vt:i4>
      </vt:variant>
      <vt:variant>
        <vt:i4>212</vt:i4>
      </vt:variant>
      <vt:variant>
        <vt:i4>0</vt:i4>
      </vt:variant>
      <vt:variant>
        <vt:i4>5</vt:i4>
      </vt:variant>
      <vt:variant>
        <vt:lpwstr/>
      </vt:variant>
      <vt:variant>
        <vt:lpwstr>_Toc66868129</vt:lpwstr>
      </vt:variant>
      <vt:variant>
        <vt:i4>1966132</vt:i4>
      </vt:variant>
      <vt:variant>
        <vt:i4>206</vt:i4>
      </vt:variant>
      <vt:variant>
        <vt:i4>0</vt:i4>
      </vt:variant>
      <vt:variant>
        <vt:i4>5</vt:i4>
      </vt:variant>
      <vt:variant>
        <vt:lpwstr/>
      </vt:variant>
      <vt:variant>
        <vt:lpwstr>_Toc66868128</vt:lpwstr>
      </vt:variant>
      <vt:variant>
        <vt:i4>1114164</vt:i4>
      </vt:variant>
      <vt:variant>
        <vt:i4>200</vt:i4>
      </vt:variant>
      <vt:variant>
        <vt:i4>0</vt:i4>
      </vt:variant>
      <vt:variant>
        <vt:i4>5</vt:i4>
      </vt:variant>
      <vt:variant>
        <vt:lpwstr/>
      </vt:variant>
      <vt:variant>
        <vt:lpwstr>_Toc66868127</vt:lpwstr>
      </vt:variant>
      <vt:variant>
        <vt:i4>1048628</vt:i4>
      </vt:variant>
      <vt:variant>
        <vt:i4>194</vt:i4>
      </vt:variant>
      <vt:variant>
        <vt:i4>0</vt:i4>
      </vt:variant>
      <vt:variant>
        <vt:i4>5</vt:i4>
      </vt:variant>
      <vt:variant>
        <vt:lpwstr/>
      </vt:variant>
      <vt:variant>
        <vt:lpwstr>_Toc66868126</vt:lpwstr>
      </vt:variant>
      <vt:variant>
        <vt:i4>1245236</vt:i4>
      </vt:variant>
      <vt:variant>
        <vt:i4>188</vt:i4>
      </vt:variant>
      <vt:variant>
        <vt:i4>0</vt:i4>
      </vt:variant>
      <vt:variant>
        <vt:i4>5</vt:i4>
      </vt:variant>
      <vt:variant>
        <vt:lpwstr/>
      </vt:variant>
      <vt:variant>
        <vt:lpwstr>_Toc66868125</vt:lpwstr>
      </vt:variant>
      <vt:variant>
        <vt:i4>1179700</vt:i4>
      </vt:variant>
      <vt:variant>
        <vt:i4>182</vt:i4>
      </vt:variant>
      <vt:variant>
        <vt:i4>0</vt:i4>
      </vt:variant>
      <vt:variant>
        <vt:i4>5</vt:i4>
      </vt:variant>
      <vt:variant>
        <vt:lpwstr/>
      </vt:variant>
      <vt:variant>
        <vt:lpwstr>_Toc66868124</vt:lpwstr>
      </vt:variant>
      <vt:variant>
        <vt:i4>1376308</vt:i4>
      </vt:variant>
      <vt:variant>
        <vt:i4>176</vt:i4>
      </vt:variant>
      <vt:variant>
        <vt:i4>0</vt:i4>
      </vt:variant>
      <vt:variant>
        <vt:i4>5</vt:i4>
      </vt:variant>
      <vt:variant>
        <vt:lpwstr/>
      </vt:variant>
      <vt:variant>
        <vt:lpwstr>_Toc66868123</vt:lpwstr>
      </vt:variant>
      <vt:variant>
        <vt:i4>1310772</vt:i4>
      </vt:variant>
      <vt:variant>
        <vt:i4>170</vt:i4>
      </vt:variant>
      <vt:variant>
        <vt:i4>0</vt:i4>
      </vt:variant>
      <vt:variant>
        <vt:i4>5</vt:i4>
      </vt:variant>
      <vt:variant>
        <vt:lpwstr/>
      </vt:variant>
      <vt:variant>
        <vt:lpwstr>_Toc66868122</vt:lpwstr>
      </vt:variant>
      <vt:variant>
        <vt:i4>1507380</vt:i4>
      </vt:variant>
      <vt:variant>
        <vt:i4>164</vt:i4>
      </vt:variant>
      <vt:variant>
        <vt:i4>0</vt:i4>
      </vt:variant>
      <vt:variant>
        <vt:i4>5</vt:i4>
      </vt:variant>
      <vt:variant>
        <vt:lpwstr/>
      </vt:variant>
      <vt:variant>
        <vt:lpwstr>_Toc66868121</vt:lpwstr>
      </vt:variant>
      <vt:variant>
        <vt:i4>1441844</vt:i4>
      </vt:variant>
      <vt:variant>
        <vt:i4>158</vt:i4>
      </vt:variant>
      <vt:variant>
        <vt:i4>0</vt:i4>
      </vt:variant>
      <vt:variant>
        <vt:i4>5</vt:i4>
      </vt:variant>
      <vt:variant>
        <vt:lpwstr/>
      </vt:variant>
      <vt:variant>
        <vt:lpwstr>_Toc66868120</vt:lpwstr>
      </vt:variant>
      <vt:variant>
        <vt:i4>2031671</vt:i4>
      </vt:variant>
      <vt:variant>
        <vt:i4>152</vt:i4>
      </vt:variant>
      <vt:variant>
        <vt:i4>0</vt:i4>
      </vt:variant>
      <vt:variant>
        <vt:i4>5</vt:i4>
      </vt:variant>
      <vt:variant>
        <vt:lpwstr/>
      </vt:variant>
      <vt:variant>
        <vt:lpwstr>_Toc66868119</vt:lpwstr>
      </vt:variant>
      <vt:variant>
        <vt:i4>1966135</vt:i4>
      </vt:variant>
      <vt:variant>
        <vt:i4>146</vt:i4>
      </vt:variant>
      <vt:variant>
        <vt:i4>0</vt:i4>
      </vt:variant>
      <vt:variant>
        <vt:i4>5</vt:i4>
      </vt:variant>
      <vt:variant>
        <vt:lpwstr/>
      </vt:variant>
      <vt:variant>
        <vt:lpwstr>_Toc66868118</vt:lpwstr>
      </vt:variant>
      <vt:variant>
        <vt:i4>1114167</vt:i4>
      </vt:variant>
      <vt:variant>
        <vt:i4>140</vt:i4>
      </vt:variant>
      <vt:variant>
        <vt:i4>0</vt:i4>
      </vt:variant>
      <vt:variant>
        <vt:i4>5</vt:i4>
      </vt:variant>
      <vt:variant>
        <vt:lpwstr/>
      </vt:variant>
      <vt:variant>
        <vt:lpwstr>_Toc66868117</vt:lpwstr>
      </vt:variant>
      <vt:variant>
        <vt:i4>1048631</vt:i4>
      </vt:variant>
      <vt:variant>
        <vt:i4>134</vt:i4>
      </vt:variant>
      <vt:variant>
        <vt:i4>0</vt:i4>
      </vt:variant>
      <vt:variant>
        <vt:i4>5</vt:i4>
      </vt:variant>
      <vt:variant>
        <vt:lpwstr/>
      </vt:variant>
      <vt:variant>
        <vt:lpwstr>_Toc66868116</vt:lpwstr>
      </vt:variant>
      <vt:variant>
        <vt:i4>1245239</vt:i4>
      </vt:variant>
      <vt:variant>
        <vt:i4>128</vt:i4>
      </vt:variant>
      <vt:variant>
        <vt:i4>0</vt:i4>
      </vt:variant>
      <vt:variant>
        <vt:i4>5</vt:i4>
      </vt:variant>
      <vt:variant>
        <vt:lpwstr/>
      </vt:variant>
      <vt:variant>
        <vt:lpwstr>_Toc66868115</vt:lpwstr>
      </vt:variant>
      <vt:variant>
        <vt:i4>1179703</vt:i4>
      </vt:variant>
      <vt:variant>
        <vt:i4>122</vt:i4>
      </vt:variant>
      <vt:variant>
        <vt:i4>0</vt:i4>
      </vt:variant>
      <vt:variant>
        <vt:i4>5</vt:i4>
      </vt:variant>
      <vt:variant>
        <vt:lpwstr/>
      </vt:variant>
      <vt:variant>
        <vt:lpwstr>_Toc66868114</vt:lpwstr>
      </vt:variant>
      <vt:variant>
        <vt:i4>1376311</vt:i4>
      </vt:variant>
      <vt:variant>
        <vt:i4>116</vt:i4>
      </vt:variant>
      <vt:variant>
        <vt:i4>0</vt:i4>
      </vt:variant>
      <vt:variant>
        <vt:i4>5</vt:i4>
      </vt:variant>
      <vt:variant>
        <vt:lpwstr/>
      </vt:variant>
      <vt:variant>
        <vt:lpwstr>_Toc66868113</vt:lpwstr>
      </vt:variant>
      <vt:variant>
        <vt:i4>1310775</vt:i4>
      </vt:variant>
      <vt:variant>
        <vt:i4>110</vt:i4>
      </vt:variant>
      <vt:variant>
        <vt:i4>0</vt:i4>
      </vt:variant>
      <vt:variant>
        <vt:i4>5</vt:i4>
      </vt:variant>
      <vt:variant>
        <vt:lpwstr/>
      </vt:variant>
      <vt:variant>
        <vt:lpwstr>_Toc66868112</vt:lpwstr>
      </vt:variant>
      <vt:variant>
        <vt:i4>1507383</vt:i4>
      </vt:variant>
      <vt:variant>
        <vt:i4>104</vt:i4>
      </vt:variant>
      <vt:variant>
        <vt:i4>0</vt:i4>
      </vt:variant>
      <vt:variant>
        <vt:i4>5</vt:i4>
      </vt:variant>
      <vt:variant>
        <vt:lpwstr/>
      </vt:variant>
      <vt:variant>
        <vt:lpwstr>_Toc66868111</vt:lpwstr>
      </vt:variant>
      <vt:variant>
        <vt:i4>1441847</vt:i4>
      </vt:variant>
      <vt:variant>
        <vt:i4>98</vt:i4>
      </vt:variant>
      <vt:variant>
        <vt:i4>0</vt:i4>
      </vt:variant>
      <vt:variant>
        <vt:i4>5</vt:i4>
      </vt:variant>
      <vt:variant>
        <vt:lpwstr/>
      </vt:variant>
      <vt:variant>
        <vt:lpwstr>_Toc66868110</vt:lpwstr>
      </vt:variant>
      <vt:variant>
        <vt:i4>2031670</vt:i4>
      </vt:variant>
      <vt:variant>
        <vt:i4>92</vt:i4>
      </vt:variant>
      <vt:variant>
        <vt:i4>0</vt:i4>
      </vt:variant>
      <vt:variant>
        <vt:i4>5</vt:i4>
      </vt:variant>
      <vt:variant>
        <vt:lpwstr/>
      </vt:variant>
      <vt:variant>
        <vt:lpwstr>_Toc66868109</vt:lpwstr>
      </vt:variant>
      <vt:variant>
        <vt:i4>1966134</vt:i4>
      </vt:variant>
      <vt:variant>
        <vt:i4>86</vt:i4>
      </vt:variant>
      <vt:variant>
        <vt:i4>0</vt:i4>
      </vt:variant>
      <vt:variant>
        <vt:i4>5</vt:i4>
      </vt:variant>
      <vt:variant>
        <vt:lpwstr/>
      </vt:variant>
      <vt:variant>
        <vt:lpwstr>_Toc66868108</vt:lpwstr>
      </vt:variant>
      <vt:variant>
        <vt:i4>1114166</vt:i4>
      </vt:variant>
      <vt:variant>
        <vt:i4>80</vt:i4>
      </vt:variant>
      <vt:variant>
        <vt:i4>0</vt:i4>
      </vt:variant>
      <vt:variant>
        <vt:i4>5</vt:i4>
      </vt:variant>
      <vt:variant>
        <vt:lpwstr/>
      </vt:variant>
      <vt:variant>
        <vt:lpwstr>_Toc66868107</vt:lpwstr>
      </vt:variant>
      <vt:variant>
        <vt:i4>1048630</vt:i4>
      </vt:variant>
      <vt:variant>
        <vt:i4>74</vt:i4>
      </vt:variant>
      <vt:variant>
        <vt:i4>0</vt:i4>
      </vt:variant>
      <vt:variant>
        <vt:i4>5</vt:i4>
      </vt:variant>
      <vt:variant>
        <vt:lpwstr/>
      </vt:variant>
      <vt:variant>
        <vt:lpwstr>_Toc66868106</vt:lpwstr>
      </vt:variant>
      <vt:variant>
        <vt:i4>1245238</vt:i4>
      </vt:variant>
      <vt:variant>
        <vt:i4>68</vt:i4>
      </vt:variant>
      <vt:variant>
        <vt:i4>0</vt:i4>
      </vt:variant>
      <vt:variant>
        <vt:i4>5</vt:i4>
      </vt:variant>
      <vt:variant>
        <vt:lpwstr/>
      </vt:variant>
      <vt:variant>
        <vt:lpwstr>_Toc66868105</vt:lpwstr>
      </vt:variant>
      <vt:variant>
        <vt:i4>1179702</vt:i4>
      </vt:variant>
      <vt:variant>
        <vt:i4>62</vt:i4>
      </vt:variant>
      <vt:variant>
        <vt:i4>0</vt:i4>
      </vt:variant>
      <vt:variant>
        <vt:i4>5</vt:i4>
      </vt:variant>
      <vt:variant>
        <vt:lpwstr/>
      </vt:variant>
      <vt:variant>
        <vt:lpwstr>_Toc66868104</vt:lpwstr>
      </vt:variant>
      <vt:variant>
        <vt:i4>1376310</vt:i4>
      </vt:variant>
      <vt:variant>
        <vt:i4>56</vt:i4>
      </vt:variant>
      <vt:variant>
        <vt:i4>0</vt:i4>
      </vt:variant>
      <vt:variant>
        <vt:i4>5</vt:i4>
      </vt:variant>
      <vt:variant>
        <vt:lpwstr/>
      </vt:variant>
      <vt:variant>
        <vt:lpwstr>_Toc66868103</vt:lpwstr>
      </vt:variant>
      <vt:variant>
        <vt:i4>1310774</vt:i4>
      </vt:variant>
      <vt:variant>
        <vt:i4>50</vt:i4>
      </vt:variant>
      <vt:variant>
        <vt:i4>0</vt:i4>
      </vt:variant>
      <vt:variant>
        <vt:i4>5</vt:i4>
      </vt:variant>
      <vt:variant>
        <vt:lpwstr/>
      </vt:variant>
      <vt:variant>
        <vt:lpwstr>_Toc66868102</vt:lpwstr>
      </vt:variant>
      <vt:variant>
        <vt:i4>1507382</vt:i4>
      </vt:variant>
      <vt:variant>
        <vt:i4>44</vt:i4>
      </vt:variant>
      <vt:variant>
        <vt:i4>0</vt:i4>
      </vt:variant>
      <vt:variant>
        <vt:i4>5</vt:i4>
      </vt:variant>
      <vt:variant>
        <vt:lpwstr/>
      </vt:variant>
      <vt:variant>
        <vt:lpwstr>_Toc66868101</vt:lpwstr>
      </vt:variant>
      <vt:variant>
        <vt:i4>1441846</vt:i4>
      </vt:variant>
      <vt:variant>
        <vt:i4>38</vt:i4>
      </vt:variant>
      <vt:variant>
        <vt:i4>0</vt:i4>
      </vt:variant>
      <vt:variant>
        <vt:i4>5</vt:i4>
      </vt:variant>
      <vt:variant>
        <vt:lpwstr/>
      </vt:variant>
      <vt:variant>
        <vt:lpwstr>_Toc66868100</vt:lpwstr>
      </vt:variant>
      <vt:variant>
        <vt:i4>1966143</vt:i4>
      </vt:variant>
      <vt:variant>
        <vt:i4>32</vt:i4>
      </vt:variant>
      <vt:variant>
        <vt:i4>0</vt:i4>
      </vt:variant>
      <vt:variant>
        <vt:i4>5</vt:i4>
      </vt:variant>
      <vt:variant>
        <vt:lpwstr/>
      </vt:variant>
      <vt:variant>
        <vt:lpwstr>_Toc66868099</vt:lpwstr>
      </vt:variant>
      <vt:variant>
        <vt:i4>2031679</vt:i4>
      </vt:variant>
      <vt:variant>
        <vt:i4>26</vt:i4>
      </vt:variant>
      <vt:variant>
        <vt:i4>0</vt:i4>
      </vt:variant>
      <vt:variant>
        <vt:i4>5</vt:i4>
      </vt:variant>
      <vt:variant>
        <vt:lpwstr/>
      </vt:variant>
      <vt:variant>
        <vt:lpwstr>_Toc66868098</vt:lpwstr>
      </vt:variant>
      <vt:variant>
        <vt:i4>1048639</vt:i4>
      </vt:variant>
      <vt:variant>
        <vt:i4>20</vt:i4>
      </vt:variant>
      <vt:variant>
        <vt:i4>0</vt:i4>
      </vt:variant>
      <vt:variant>
        <vt:i4>5</vt:i4>
      </vt:variant>
      <vt:variant>
        <vt:lpwstr/>
      </vt:variant>
      <vt:variant>
        <vt:lpwstr>_Toc66868097</vt:lpwstr>
      </vt:variant>
      <vt:variant>
        <vt:i4>1114175</vt:i4>
      </vt:variant>
      <vt:variant>
        <vt:i4>14</vt:i4>
      </vt:variant>
      <vt:variant>
        <vt:i4>0</vt:i4>
      </vt:variant>
      <vt:variant>
        <vt:i4>5</vt:i4>
      </vt:variant>
      <vt:variant>
        <vt:lpwstr/>
      </vt:variant>
      <vt:variant>
        <vt:lpwstr>_Toc66868096</vt:lpwstr>
      </vt:variant>
      <vt:variant>
        <vt:i4>1179711</vt:i4>
      </vt:variant>
      <vt:variant>
        <vt:i4>8</vt:i4>
      </vt:variant>
      <vt:variant>
        <vt:i4>0</vt:i4>
      </vt:variant>
      <vt:variant>
        <vt:i4>5</vt:i4>
      </vt:variant>
      <vt:variant>
        <vt:lpwstr/>
      </vt:variant>
      <vt:variant>
        <vt:lpwstr>_Toc66868095</vt:lpwstr>
      </vt:variant>
      <vt:variant>
        <vt:i4>1245247</vt:i4>
      </vt:variant>
      <vt:variant>
        <vt:i4>2</vt:i4>
      </vt:variant>
      <vt:variant>
        <vt:i4>0</vt:i4>
      </vt:variant>
      <vt:variant>
        <vt:i4>5</vt:i4>
      </vt:variant>
      <vt:variant>
        <vt:lpwstr/>
      </vt:variant>
      <vt:variant>
        <vt:lpwstr>_Toc66868094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anticorruzione - Entionline</dc:title>
  <dc:subject/>
  <dc:creator>omar gozzoli</dc:creator>
  <cp:keywords/>
  <dc:description>Prodotto protetto dalla disciplina sui diritti d'autore: non divulgabile senza espressa autorizzazione di Soluzione srl</dc:description>
  <cp:lastModifiedBy>lovotti</cp:lastModifiedBy>
  <cp:revision>16</cp:revision>
  <cp:lastPrinted>2021-04-14T08:41:00Z</cp:lastPrinted>
  <dcterms:created xsi:type="dcterms:W3CDTF">2021-04-14T08:41:00Z</dcterms:created>
  <dcterms:modified xsi:type="dcterms:W3CDTF">2022-04-28T10:31:00Z</dcterms:modified>
</cp:coreProperties>
</file>