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35" w:rsidRPr="00E42549" w:rsidRDefault="00C774B1" w:rsidP="00112335">
      <w:pPr>
        <w:pStyle w:val="Testonormale1"/>
        <w:tabs>
          <w:tab w:val="left" w:pos="8789"/>
        </w:tabs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PROTOCOLLO OPERATIVO </w:t>
      </w:r>
      <w:r w:rsidR="00AD79CD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N. 6</w:t>
      </w:r>
    </w:p>
    <w:p w:rsidR="00112335" w:rsidRPr="00E42549" w:rsidRDefault="00112335" w:rsidP="00112335">
      <w:pPr>
        <w:pStyle w:val="Testonormale1"/>
        <w:tabs>
          <w:tab w:val="left" w:pos="8789"/>
        </w:tabs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112335" w:rsidRPr="00E42549" w:rsidRDefault="00462EDF" w:rsidP="001C4871">
      <w:pPr>
        <w:pStyle w:val="Testonormale1"/>
        <w:tabs>
          <w:tab w:val="left" w:pos="8789"/>
        </w:tabs>
        <w:spacing w:line="360" w:lineRule="auto"/>
        <w:ind w:left="567" w:right="560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GESTIONE DELLA CONTABILITA', F</w:t>
      </w:r>
      <w:r w:rsidR="001C4871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O</w:t>
      </w: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R</w:t>
      </w:r>
      <w:bookmarkStart w:id="0" w:name="_GoBack"/>
      <w:bookmarkEnd w:id="0"/>
      <w:r w:rsidR="001C4871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MAZIONE DEL BILANCIO E RAPPORTI CON ORGANI DI CONTROLLO</w:t>
      </w:r>
    </w:p>
    <w:p w:rsidR="00112335" w:rsidRPr="00E42549" w:rsidRDefault="00112335" w:rsidP="001C4871">
      <w:pPr>
        <w:pStyle w:val="Testonormale1"/>
        <w:tabs>
          <w:tab w:val="left" w:pos="8789"/>
        </w:tabs>
        <w:spacing w:line="360" w:lineRule="auto"/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112335" w:rsidRPr="00E42549" w:rsidRDefault="00112335" w:rsidP="00112335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1. </w:t>
      </w:r>
      <w:r w:rsidR="00B4148D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Obiettivo</w:t>
      </w: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e ambito di applicazione.</w:t>
      </w:r>
    </w:p>
    <w:p w:rsidR="00B4148D" w:rsidRPr="00E42549" w:rsidRDefault="00B4148D" w:rsidP="00B4148D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presente protocollo ha l'obiettivo di definire i ruoli, le responsabilità operative, i principi di condotta e di controllo a cui tutto il personale di Segrate Servizi, a qualsiasi titolo coinvolto nel processo di gestione della contabilità, di formazione del Bilancio e dei rapporti con gli organi di controllo, deve attenersi.</w:t>
      </w:r>
    </w:p>
    <w:p w:rsidR="00B4148D" w:rsidRPr="00E42549" w:rsidRDefault="00B4148D" w:rsidP="00112335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742438" w:rsidRPr="00E42549" w:rsidRDefault="00742438" w:rsidP="0074243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presente documento si applica con particolare riferimento a tutti i soggetti aziendali coinvolti nelle seguenti attività:</w:t>
      </w:r>
    </w:p>
    <w:p w:rsidR="00742438" w:rsidRPr="00E42549" w:rsidRDefault="001C4871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rilevazione ed elaborazione delle informazioni contabili necessarie alla corretta e completa effettuazione delle registrazioni contabili ed alla redazione del bilancio</w:t>
      </w:r>
      <w:r w:rsidR="00742438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;</w:t>
      </w:r>
    </w:p>
    <w:p w:rsidR="00742438" w:rsidRPr="00E42549" w:rsidRDefault="001C4871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gestione dei rapporti con il Socio</w:t>
      </w:r>
      <w:r w:rsidR="009F1F04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unico ed il Collegio Sindacale;</w:t>
      </w:r>
    </w:p>
    <w:p w:rsidR="009F1F04" w:rsidRPr="00E42549" w:rsidRDefault="009F1F04" w:rsidP="00742438">
      <w:pPr>
        <w:pStyle w:val="Testonormale1"/>
        <w:numPr>
          <w:ilvl w:val="0"/>
          <w:numId w:val="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custodia e tenuta dei libri contabili e dei libri sociali.</w:t>
      </w:r>
    </w:p>
    <w:p w:rsidR="003D5AD8" w:rsidRPr="00E42549" w:rsidRDefault="003D5AD8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B4148D" w:rsidRPr="00E42549" w:rsidRDefault="00B4148D" w:rsidP="00B4148D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presente documento, in particolare è volto a garantire il rispetto dei principi di trasparenza, correttezza, segregazione delle funzioni, verificabilità e tracciabilità delle operazioni.</w:t>
      </w:r>
    </w:p>
    <w:p w:rsidR="00B4148D" w:rsidRPr="00E42549" w:rsidRDefault="00B4148D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B4148D" w:rsidRPr="00E42549" w:rsidRDefault="00742438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2.</w:t>
      </w:r>
      <w:r w:rsidR="00B4148D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Riferimenti.</w:t>
      </w:r>
    </w:p>
    <w:p w:rsidR="00B4148D" w:rsidRPr="00E42549" w:rsidRDefault="00B4148D" w:rsidP="00B4148D">
      <w:pPr>
        <w:pStyle w:val="Testonormale1"/>
        <w:numPr>
          <w:ilvl w:val="0"/>
          <w:numId w:val="3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D.Lgs. 231/2001;</w:t>
      </w:r>
    </w:p>
    <w:p w:rsidR="00214796" w:rsidRPr="00E42549" w:rsidRDefault="00214796" w:rsidP="00214796">
      <w:pPr>
        <w:pStyle w:val="Testonormale1"/>
        <w:numPr>
          <w:ilvl w:val="0"/>
          <w:numId w:val="31"/>
        </w:numPr>
        <w:tabs>
          <w:tab w:val="left" w:pos="8789"/>
        </w:tabs>
        <w:ind w:right="1127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/>
          <w:sz w:val="18"/>
          <w:szCs w:val="18"/>
        </w:rPr>
        <w:t>Codice di Comportamento Integrativo dei dipendenti del Comune di Segrate;</w:t>
      </w:r>
    </w:p>
    <w:p w:rsidR="00B4148D" w:rsidRPr="00E42549" w:rsidRDefault="00214796" w:rsidP="00214796">
      <w:pPr>
        <w:pStyle w:val="Testonormale1"/>
        <w:numPr>
          <w:ilvl w:val="0"/>
          <w:numId w:val="31"/>
        </w:numPr>
        <w:tabs>
          <w:tab w:val="left" w:pos="8789"/>
        </w:tabs>
        <w:ind w:right="1127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Modello di Organizzazione, gestione e controllo ex. D.Lgs. 231/2001 e allegato Codice Etico;</w:t>
      </w:r>
    </w:p>
    <w:p w:rsidR="00B4148D" w:rsidRPr="00E42549" w:rsidRDefault="00B4148D" w:rsidP="00B4148D">
      <w:pPr>
        <w:pStyle w:val="Testonormale1"/>
        <w:numPr>
          <w:ilvl w:val="0"/>
          <w:numId w:val="3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D.Lgs. 231/2007 e s.m.i;</w:t>
      </w:r>
    </w:p>
    <w:p w:rsidR="00B4148D" w:rsidRPr="00E42549" w:rsidRDefault="00B4148D" w:rsidP="00B4148D">
      <w:pPr>
        <w:pStyle w:val="Testonormale1"/>
        <w:numPr>
          <w:ilvl w:val="0"/>
          <w:numId w:val="31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Protocollo n. 2 "Gestione dei rapporti con la Pubblica Amministrazione.</w:t>
      </w:r>
      <w:r w:rsidR="00A1126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”</w:t>
      </w:r>
    </w:p>
    <w:p w:rsidR="00B4148D" w:rsidRPr="00E42549" w:rsidRDefault="00B4148D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742438" w:rsidRPr="00E42549" w:rsidRDefault="00B4148D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3.</w:t>
      </w:r>
      <w:r w:rsidR="00742438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Funzioni aziendali coinvolte.</w:t>
      </w:r>
    </w:p>
    <w:p w:rsidR="00CB6013" w:rsidRPr="00E42549" w:rsidRDefault="00CB6013" w:rsidP="00CB6013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processo di gestione in esame prevede il coinvolgimento, secondo le rispettive competenze, delle seguenti funzioni aziendali:</w:t>
      </w:r>
    </w:p>
    <w:p w:rsidR="00742438" w:rsidRPr="00E42549" w:rsidRDefault="00742438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Amministratore Unico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Presidente della Società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;</w:t>
      </w:r>
    </w:p>
    <w:p w:rsidR="00742438" w:rsidRPr="00E42549" w:rsidRDefault="00AA5F34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742438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;</w:t>
      </w:r>
    </w:p>
    <w:p w:rsidR="008C233C" w:rsidRPr="00E42549" w:rsidRDefault="00742438" w:rsidP="00742438">
      <w:pPr>
        <w:pStyle w:val="Testonormale1"/>
        <w:numPr>
          <w:ilvl w:val="0"/>
          <w:numId w:val="2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</w:t>
      </w:r>
      <w:r w:rsidR="00A1126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/Direttore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del singolo servizio.</w:t>
      </w:r>
    </w:p>
    <w:p w:rsidR="00B93CC7" w:rsidRPr="00E42549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93CC7" w:rsidRPr="00E42549" w:rsidRDefault="00B4148D" w:rsidP="00B93CC7">
      <w:pPr>
        <w:pStyle w:val="Testonormale1"/>
        <w:tabs>
          <w:tab w:val="left" w:pos="8789"/>
        </w:tabs>
        <w:spacing w:line="276" w:lineRule="auto"/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4</w:t>
      </w:r>
      <w:r w:rsidR="00B93CC7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 Principi generali di condotta.</w:t>
      </w:r>
    </w:p>
    <w:p w:rsidR="00B93CC7" w:rsidRPr="00E42549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personale della Società, a qualsiasi titolo coinvolto nel processo in esame, è tenuto ad osservare il presente protocollo, i regolamenti interni aziendali, le previsioni di legge esistenti in materia e le norme comportamentali richiamate nel Codi</w:t>
      </w:r>
      <w:r w:rsidR="00C5271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ce Etico e nel Modello adottati</w:t>
      </w:r>
      <w:r w:rsidR="00D178AF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dalla Società.</w:t>
      </w:r>
    </w:p>
    <w:p w:rsidR="00B93CC7" w:rsidRPr="00E42549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191F4B" w:rsidRPr="00E42549" w:rsidRDefault="00191F4B" w:rsidP="00191F4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personale della Società deve garantire il rispetto dei seguenti principi:</w:t>
      </w:r>
    </w:p>
    <w:p w:rsidR="00191F4B" w:rsidRPr="00E42549" w:rsidRDefault="00191F4B" w:rsidP="00191F4B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9F1F04" w:rsidRPr="00E42549" w:rsidRDefault="009F1F04" w:rsidP="0035332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0"/>
        <w:jc w:val="both"/>
        <w:rPr>
          <w:rFonts w:asciiTheme="majorHAnsi" w:hAnsiTheme="majorHAnsi" w:cs="Times"/>
          <w:sz w:val="18"/>
          <w:szCs w:val="18"/>
        </w:rPr>
      </w:pPr>
      <w:r w:rsidRPr="00E42549">
        <w:rPr>
          <w:rFonts w:asciiTheme="majorHAnsi" w:hAnsiTheme="majorHAnsi" w:cs="Calibri"/>
          <w:sz w:val="18"/>
          <w:szCs w:val="18"/>
        </w:rPr>
        <w:t xml:space="preserve">nella gestione delle attività contabili devono essere osservate le regole di corretta, completa e trasparente contabilizzazione, secondo i criteri indicati dalla legge e dai principi contabili applicabili, in modo tale che ogni operazione sia, oltre che correttamente registrata, anche autorizzata, verificabile, legittima, coerente e congrua; </w:t>
      </w:r>
    </w:p>
    <w:p w:rsidR="00353320" w:rsidRPr="00E42549" w:rsidRDefault="00353320" w:rsidP="0035332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0"/>
        <w:jc w:val="both"/>
        <w:rPr>
          <w:rFonts w:asciiTheme="majorHAnsi" w:hAnsiTheme="majorHAnsi" w:cs="Times"/>
          <w:sz w:val="18"/>
          <w:szCs w:val="18"/>
        </w:rPr>
      </w:pPr>
      <w:r w:rsidRPr="00E42549">
        <w:rPr>
          <w:rFonts w:asciiTheme="majorHAnsi" w:hAnsiTheme="majorHAnsi" w:cs="Calibri"/>
          <w:sz w:val="18"/>
          <w:szCs w:val="18"/>
        </w:rPr>
        <w:t xml:space="preserve">ciascuna registrazione contabile deve riflettere esattamente le risultanze della documentazione di supporto. Pertanto, è rimesso al Responsabile del settore amministrativo-contabile assicurare che la documentazione di supporto sia facilmente reperibile e ordinata secondo criteri logici; </w:t>
      </w:r>
    </w:p>
    <w:p w:rsidR="00353320" w:rsidRPr="00E42549" w:rsidRDefault="00353320" w:rsidP="0035332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0"/>
        <w:jc w:val="both"/>
        <w:rPr>
          <w:rFonts w:asciiTheme="majorHAnsi" w:hAnsiTheme="majorHAnsi" w:cs="Times"/>
          <w:sz w:val="18"/>
          <w:szCs w:val="18"/>
        </w:rPr>
      </w:pPr>
      <w:r w:rsidRPr="00E42549">
        <w:rPr>
          <w:rFonts w:asciiTheme="majorHAnsi" w:hAnsiTheme="majorHAnsi" w:cs="Calibri"/>
          <w:sz w:val="18"/>
          <w:szCs w:val="18"/>
        </w:rPr>
        <w:t xml:space="preserve">nei rapporti con il Collegio Sindacale è necessario agire con trasparenza prestando la massima collaborazione per evadere ogni richiesta dallo stesso formulata. </w:t>
      </w:r>
    </w:p>
    <w:p w:rsidR="00415EDC" w:rsidRPr="00E42549" w:rsidRDefault="00415EDC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B93CC7" w:rsidRPr="00E42549" w:rsidRDefault="00B93CC7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In particolare, è fatto divieto:</w:t>
      </w:r>
    </w:p>
    <w:p w:rsidR="00EB2195" w:rsidRPr="00E42549" w:rsidRDefault="00EB2195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53320" w:rsidRPr="00E42549" w:rsidRDefault="00353320" w:rsidP="0035332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0"/>
        <w:jc w:val="both"/>
        <w:rPr>
          <w:rFonts w:asciiTheme="majorHAnsi" w:hAnsiTheme="majorHAnsi" w:cs="Times"/>
          <w:sz w:val="18"/>
          <w:szCs w:val="18"/>
        </w:rPr>
      </w:pPr>
      <w:r w:rsidRPr="00E42549">
        <w:rPr>
          <w:rFonts w:asciiTheme="majorHAnsi" w:hAnsiTheme="majorHAnsi" w:cs="Calibri"/>
          <w:sz w:val="18"/>
          <w:szCs w:val="18"/>
        </w:rPr>
        <w:t xml:space="preserve">porre in essere operazioni simulate o difformi da quelle effettivamente da porre in essere; </w:t>
      </w:r>
    </w:p>
    <w:p w:rsidR="00353320" w:rsidRPr="00E42549" w:rsidRDefault="00353320" w:rsidP="0035332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0"/>
        <w:jc w:val="both"/>
        <w:rPr>
          <w:rFonts w:asciiTheme="majorHAnsi" w:hAnsiTheme="majorHAnsi" w:cs="Times"/>
          <w:sz w:val="18"/>
          <w:szCs w:val="18"/>
        </w:rPr>
      </w:pPr>
      <w:r w:rsidRPr="00E42549">
        <w:rPr>
          <w:rFonts w:asciiTheme="majorHAnsi" w:hAnsiTheme="majorHAnsi" w:cs="Calibri"/>
          <w:sz w:val="18"/>
          <w:szCs w:val="18"/>
        </w:rPr>
        <w:t>rappresentare o trasmettere per l’elaborazione e la rappresentazione nel Bilancio Preventivo triennale, nel Bilancio Consuntivo d'esercizio nelle relazioni, prospetti o altre comunicazioni sociali dati falsi, lacunosi o, comunque, non rispondenti alla realtà sulla situazione economica, patrimoniale e finanziaria della Società;</w:t>
      </w:r>
    </w:p>
    <w:p w:rsidR="00353320" w:rsidRPr="00E42549" w:rsidRDefault="00353320" w:rsidP="0035332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0"/>
        <w:jc w:val="both"/>
        <w:rPr>
          <w:rFonts w:asciiTheme="majorHAnsi" w:hAnsiTheme="majorHAnsi" w:cs="Times"/>
          <w:sz w:val="18"/>
          <w:szCs w:val="18"/>
        </w:rPr>
      </w:pPr>
      <w:r w:rsidRPr="00E42549">
        <w:rPr>
          <w:rFonts w:asciiTheme="majorHAnsi" w:hAnsiTheme="majorHAnsi" w:cs="Calibri"/>
          <w:sz w:val="18"/>
          <w:szCs w:val="18"/>
        </w:rPr>
        <w:lastRenderedPageBreak/>
        <w:t>omettere dati ed informazioni imposti dalla legge sulla situazione economica, patrimoniale e finanziaria della Società;</w:t>
      </w:r>
    </w:p>
    <w:p w:rsidR="00353320" w:rsidRPr="00E42549" w:rsidRDefault="00353320" w:rsidP="0035332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0"/>
        <w:jc w:val="both"/>
        <w:rPr>
          <w:rFonts w:asciiTheme="majorHAnsi" w:hAnsiTheme="majorHAnsi" w:cs="Times"/>
          <w:sz w:val="18"/>
          <w:szCs w:val="18"/>
        </w:rPr>
      </w:pPr>
      <w:r w:rsidRPr="00E42549">
        <w:rPr>
          <w:rFonts w:asciiTheme="majorHAnsi" w:hAnsiTheme="majorHAnsi" w:cs="Calibri"/>
          <w:sz w:val="18"/>
          <w:szCs w:val="18"/>
        </w:rPr>
        <w:t>ripartire utili o acconti su utili non effettivamente conseguiti o destinati per legge a riserva;</w:t>
      </w:r>
    </w:p>
    <w:p w:rsidR="00EB2195" w:rsidRPr="00E42549" w:rsidRDefault="00EB2195" w:rsidP="00EB219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0"/>
        <w:jc w:val="both"/>
        <w:rPr>
          <w:rFonts w:asciiTheme="majorHAnsi" w:hAnsiTheme="majorHAnsi" w:cs="Times"/>
          <w:sz w:val="18"/>
          <w:szCs w:val="18"/>
        </w:rPr>
      </w:pPr>
      <w:r w:rsidRPr="00E42549">
        <w:rPr>
          <w:rFonts w:asciiTheme="majorHAnsi" w:hAnsiTheme="majorHAnsi" w:cs="Calibri"/>
          <w:sz w:val="18"/>
          <w:szCs w:val="18"/>
        </w:rPr>
        <w:t xml:space="preserve">porre in essere comportamenti che impediscano o che comunque ostacolino, mediante l’occultamento di documenti o l’uso di altri mezzi fraudolenti, lo svolgimento dell’attività di controllo da parte del Socio unico e del Collegio Sindacale; </w:t>
      </w:r>
    </w:p>
    <w:p w:rsidR="00B93CC7" w:rsidRPr="00E42549" w:rsidRDefault="00EB2195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42549">
        <w:rPr>
          <w:rFonts w:asciiTheme="majorHAnsi" w:hAnsiTheme="majorHAnsi"/>
          <w:color w:val="000000" w:themeColor="text1"/>
          <w:sz w:val="18"/>
          <w:szCs w:val="18"/>
        </w:rPr>
        <w:t>omettere di effettuare, con la dovuta completezza, accuratezza e tempestività tutte le segnalazioni periodiche previste dalle leggi e dalla normativa applicabile a cui è soggetta la Società;</w:t>
      </w:r>
    </w:p>
    <w:p w:rsidR="00334602" w:rsidRPr="00E42549" w:rsidRDefault="00334602" w:rsidP="00334602">
      <w:pPr>
        <w:tabs>
          <w:tab w:val="left" w:pos="8789"/>
          <w:tab w:val="left" w:pos="9072"/>
        </w:tabs>
        <w:ind w:left="633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334602" w:rsidRPr="00E42549" w:rsidRDefault="00EB2195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42549">
        <w:rPr>
          <w:rFonts w:asciiTheme="majorHAnsi" w:hAnsiTheme="majorHAnsi"/>
          <w:color w:val="000000" w:themeColor="text1"/>
          <w:sz w:val="18"/>
          <w:szCs w:val="18"/>
        </w:rPr>
        <w:t>esporre nelle predette comunicazioni e trasmissioni fatti non rispondenti al vero, ovvero occultare fatti rilevanti relativi alle condizioni economiche, patrimoniali o finanziarie della Società</w:t>
      </w:r>
      <w:r w:rsidR="00CB6013" w:rsidRPr="00E42549">
        <w:rPr>
          <w:rFonts w:asciiTheme="majorHAnsi" w:hAnsiTheme="majorHAnsi"/>
          <w:color w:val="000000" w:themeColor="text1"/>
          <w:sz w:val="18"/>
          <w:szCs w:val="18"/>
        </w:rPr>
        <w:t>;</w:t>
      </w:r>
    </w:p>
    <w:p w:rsidR="00CB6013" w:rsidRPr="00E42549" w:rsidRDefault="00CB6013" w:rsidP="00CB6013">
      <w:pPr>
        <w:tabs>
          <w:tab w:val="left" w:pos="8789"/>
          <w:tab w:val="left" w:pos="9072"/>
        </w:tabs>
        <w:ind w:left="993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CB6013" w:rsidRPr="00E42549" w:rsidRDefault="00CB6013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42549">
        <w:rPr>
          <w:rFonts w:asciiTheme="majorHAnsi" w:hAnsiTheme="majorHAnsi"/>
          <w:color w:val="000000" w:themeColor="text1"/>
          <w:sz w:val="18"/>
          <w:szCs w:val="18"/>
        </w:rPr>
        <w:t xml:space="preserve">inserire nuovamente </w:t>
      </w:r>
      <w:r w:rsidR="00FA2517" w:rsidRPr="00E42549">
        <w:rPr>
          <w:rFonts w:asciiTheme="majorHAnsi" w:hAnsiTheme="majorHAnsi"/>
          <w:color w:val="000000" w:themeColor="text1"/>
          <w:sz w:val="18"/>
          <w:szCs w:val="18"/>
        </w:rPr>
        <w:t xml:space="preserve">in circolazione </w:t>
      </w:r>
      <w:r w:rsidRPr="00E42549">
        <w:rPr>
          <w:rFonts w:asciiTheme="majorHAnsi" w:hAnsiTheme="majorHAnsi"/>
          <w:color w:val="000000" w:themeColor="text1"/>
          <w:sz w:val="18"/>
          <w:szCs w:val="18"/>
        </w:rPr>
        <w:t>banconote o m</w:t>
      </w:r>
      <w:r w:rsidR="00FA2517" w:rsidRPr="00E42549">
        <w:rPr>
          <w:rFonts w:asciiTheme="majorHAnsi" w:hAnsiTheme="majorHAnsi"/>
          <w:color w:val="000000" w:themeColor="text1"/>
          <w:sz w:val="18"/>
          <w:szCs w:val="18"/>
        </w:rPr>
        <w:t xml:space="preserve">onete evidentemente falsificate o anche semplicemente sospette di falsità; tali banconote devono essere trattenute e consegnate ad un istituto di credito, unitamente ad un verbale previsto dall'art. 8 del D.L. 350/2001 contenente tra l'altro l'indicazione della banconota e le modalità di rinvenimento da inviare, </w:t>
      </w:r>
      <w:r w:rsidR="00F544EB" w:rsidRPr="00E42549">
        <w:rPr>
          <w:rFonts w:asciiTheme="majorHAnsi" w:hAnsiTheme="majorHAnsi"/>
          <w:color w:val="000000" w:themeColor="text1"/>
          <w:sz w:val="18"/>
          <w:szCs w:val="18"/>
        </w:rPr>
        <w:t>altresì, alle Autorità di pubblica sicurezza</w:t>
      </w:r>
      <w:r w:rsidR="00806367" w:rsidRPr="00E42549">
        <w:rPr>
          <w:rFonts w:asciiTheme="majorHAnsi" w:hAnsiTheme="majorHAnsi"/>
          <w:color w:val="000000" w:themeColor="text1"/>
          <w:sz w:val="18"/>
          <w:szCs w:val="18"/>
        </w:rPr>
        <w:t>;</w:t>
      </w:r>
    </w:p>
    <w:p w:rsidR="00806367" w:rsidRPr="00E42549" w:rsidRDefault="00806367" w:rsidP="00806367">
      <w:pPr>
        <w:tabs>
          <w:tab w:val="left" w:pos="8789"/>
          <w:tab w:val="left" w:pos="9072"/>
        </w:tabs>
        <w:ind w:left="993"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06367" w:rsidRPr="00E42549" w:rsidRDefault="00806367" w:rsidP="00DE2573">
      <w:pPr>
        <w:pStyle w:val="Paragrafoelenco"/>
        <w:numPr>
          <w:ilvl w:val="0"/>
          <w:numId w:val="21"/>
        </w:numPr>
        <w:tabs>
          <w:tab w:val="left" w:pos="8789"/>
          <w:tab w:val="left" w:pos="9072"/>
        </w:tabs>
        <w:ind w:right="5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42549">
        <w:rPr>
          <w:rFonts w:asciiTheme="majorHAnsi" w:hAnsiTheme="majorHAnsi"/>
          <w:color w:val="000000" w:themeColor="text1"/>
          <w:sz w:val="18"/>
          <w:szCs w:val="18"/>
        </w:rPr>
        <w:t>disporre/accettare pagamenti relativi a beni non consegnati o servizi non erogati o da soggetti diversi</w:t>
      </w:r>
      <w:r w:rsidR="008A6EB0" w:rsidRPr="00E42549">
        <w:rPr>
          <w:rFonts w:asciiTheme="majorHAnsi" w:hAnsiTheme="majorHAnsi"/>
          <w:color w:val="000000" w:themeColor="text1"/>
          <w:sz w:val="18"/>
          <w:szCs w:val="18"/>
        </w:rPr>
        <w:t xml:space="preserve"> dalla controparte contrattuale.</w:t>
      </w:r>
    </w:p>
    <w:p w:rsidR="00EB2195" w:rsidRPr="00E42549" w:rsidRDefault="00EB2195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FA2517" w:rsidRPr="00E42549" w:rsidRDefault="00B4148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5</w:t>
      </w:r>
      <w:r w:rsidR="00FA2517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</w:t>
      </w:r>
      <w:r w:rsidR="00EB2195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Modalità operative.</w:t>
      </w:r>
    </w:p>
    <w:p w:rsidR="00EB2195" w:rsidRPr="00E42549" w:rsidRDefault="00EB2195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EB2195" w:rsidRPr="00E42549" w:rsidRDefault="00B4148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EB2195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.1 </w:t>
      </w:r>
      <w:r w:rsidR="00C47D1F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Gestione s</w:t>
      </w:r>
      <w:r w:rsidR="00EB2195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critture contabili.</w:t>
      </w:r>
    </w:p>
    <w:p w:rsidR="00C47D1F" w:rsidRPr="00E42549" w:rsidRDefault="00C47D1F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>La contabilità generale è tenuta e gestita tramite software professionale dell'ufficio amministrativo.</w:t>
      </w:r>
    </w:p>
    <w:p w:rsidR="00C47D1F" w:rsidRPr="00E42549" w:rsidRDefault="00C47D1F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>In coerenza con le scadenze stabilite dalla legge nell'ambito delle attività di predisposizione, approvazione e comunicazione del Bilancio civilistico, il responsabile dell'ufficio amministrativo pianifica le attività necessarie alla chiusura dell'esercizio sociale e alla redazione del progetto di Bilancio.</w:t>
      </w:r>
    </w:p>
    <w:p w:rsidR="00EB2195" w:rsidRPr="00E42549" w:rsidRDefault="00EB2195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>Le scritture relative alla contabilità generale sono tenute in osservanza delle norme legislative, civilistiche e fiscali, tenendo conto delle variazioni che eventualmente il legislatori adotti, con le modalità più opportune per la rilevazione degli aspetti economici della gestione e la redazione del bilancio d’esercizio secondo i principi contabili nazionali.</w:t>
      </w:r>
    </w:p>
    <w:p w:rsidR="00C47D1F" w:rsidRPr="00E42549" w:rsidRDefault="00C47D1F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</w:p>
    <w:p w:rsidR="00EB2195" w:rsidRPr="00E42549" w:rsidRDefault="00EB2195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>Le contabilità di base tenute dalla Società sono:</w:t>
      </w:r>
    </w:p>
    <w:p w:rsidR="00EB2195" w:rsidRPr="00E42549" w:rsidRDefault="00EB2195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</w:p>
    <w:p w:rsidR="00EB2195" w:rsidRPr="00E42549" w:rsidRDefault="00EB2195" w:rsidP="00EB2195">
      <w:pPr>
        <w:numPr>
          <w:ilvl w:val="0"/>
          <w:numId w:val="23"/>
        </w:numPr>
        <w:ind w:left="1276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 xml:space="preserve">Scritture di base </w:t>
      </w:r>
      <w:r w:rsidRPr="00E42549">
        <w:rPr>
          <w:rFonts w:asciiTheme="majorHAnsi" w:hAnsiTheme="majorHAnsi" w:cs="Arial"/>
          <w:i/>
          <w:sz w:val="18"/>
          <w:szCs w:val="18"/>
        </w:rPr>
        <w:t>(scontrini fiscali e registri corrispettivi)</w:t>
      </w:r>
      <w:r w:rsidRPr="00E42549">
        <w:rPr>
          <w:rFonts w:asciiTheme="majorHAnsi" w:hAnsiTheme="majorHAnsi" w:cs="Arial"/>
          <w:sz w:val="18"/>
          <w:szCs w:val="18"/>
        </w:rPr>
        <w:t xml:space="preserve"> tenuti dalle farmacie sotto il controllo del direttore di farmacia o suo sostituto.</w:t>
      </w:r>
    </w:p>
    <w:p w:rsidR="00EB2195" w:rsidRPr="00E42549" w:rsidRDefault="00EB2195" w:rsidP="00EB2195">
      <w:pPr>
        <w:numPr>
          <w:ilvl w:val="0"/>
          <w:numId w:val="23"/>
        </w:numPr>
        <w:ind w:left="1276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 xml:space="preserve">Scritture iva </w:t>
      </w:r>
      <w:r w:rsidRPr="00E42549">
        <w:rPr>
          <w:rFonts w:asciiTheme="majorHAnsi" w:hAnsiTheme="majorHAnsi" w:cs="Arial"/>
          <w:i/>
          <w:sz w:val="18"/>
          <w:szCs w:val="18"/>
        </w:rPr>
        <w:t>(registri suddivisi per i diversi settori; schede riepilogative mensili; schede riepilogative annuali; denunce iva periodica e annuale)</w:t>
      </w:r>
      <w:r w:rsidRPr="00E42549">
        <w:rPr>
          <w:rFonts w:asciiTheme="majorHAnsi" w:hAnsiTheme="majorHAnsi" w:cs="Arial"/>
          <w:sz w:val="18"/>
          <w:szCs w:val="18"/>
        </w:rPr>
        <w:t xml:space="preserve"> tenute dall’ufficio amministrativo.</w:t>
      </w:r>
    </w:p>
    <w:p w:rsidR="00EB2195" w:rsidRPr="00E42549" w:rsidRDefault="00EB2195" w:rsidP="00EB2195">
      <w:pPr>
        <w:numPr>
          <w:ilvl w:val="0"/>
          <w:numId w:val="23"/>
        </w:numPr>
        <w:ind w:left="1276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 xml:space="preserve">Scritture in contabilità generale per tutte le operazioni aziendali mediante il </w:t>
      </w:r>
      <w:r w:rsidRPr="00E42549">
        <w:rPr>
          <w:rFonts w:asciiTheme="majorHAnsi" w:hAnsiTheme="majorHAnsi" w:cs="Arial"/>
          <w:i/>
          <w:sz w:val="18"/>
          <w:szCs w:val="18"/>
        </w:rPr>
        <w:t xml:space="preserve">sistema informatico </w:t>
      </w:r>
      <w:r w:rsidRPr="00E42549">
        <w:rPr>
          <w:rFonts w:asciiTheme="majorHAnsi" w:hAnsiTheme="majorHAnsi" w:cs="Arial"/>
          <w:sz w:val="18"/>
          <w:szCs w:val="18"/>
        </w:rPr>
        <w:t>dell’ufficio amministrativo.</w:t>
      </w:r>
    </w:p>
    <w:p w:rsidR="00EB2195" w:rsidRPr="00E42549" w:rsidRDefault="00EB2195" w:rsidP="00EB2195">
      <w:pPr>
        <w:numPr>
          <w:ilvl w:val="0"/>
          <w:numId w:val="23"/>
        </w:numPr>
        <w:ind w:left="1276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 xml:space="preserve">Rilevazioni della </w:t>
      </w:r>
      <w:r w:rsidRPr="00E42549">
        <w:rPr>
          <w:rFonts w:asciiTheme="majorHAnsi" w:hAnsiTheme="majorHAnsi" w:cs="Arial"/>
          <w:i/>
          <w:sz w:val="18"/>
          <w:szCs w:val="18"/>
        </w:rPr>
        <w:t>movimentazione del magazzino</w:t>
      </w:r>
      <w:r w:rsidRPr="00E42549">
        <w:rPr>
          <w:rFonts w:asciiTheme="majorHAnsi" w:hAnsiTheme="majorHAnsi" w:cs="Arial"/>
          <w:sz w:val="18"/>
          <w:szCs w:val="18"/>
        </w:rPr>
        <w:t xml:space="preserve"> in tempo reale mediante il sistema informatico delle farmacie sotto il controllo </w:t>
      </w:r>
      <w:r w:rsidR="00A11262" w:rsidRPr="00E42549">
        <w:rPr>
          <w:rFonts w:asciiTheme="majorHAnsi" w:hAnsiTheme="majorHAnsi" w:cs="Arial"/>
          <w:sz w:val="18"/>
          <w:szCs w:val="18"/>
        </w:rPr>
        <w:t>dei Responsabili</w:t>
      </w:r>
      <w:r w:rsidRPr="00E42549">
        <w:rPr>
          <w:rFonts w:asciiTheme="majorHAnsi" w:hAnsiTheme="majorHAnsi" w:cs="Arial"/>
          <w:sz w:val="18"/>
          <w:szCs w:val="18"/>
        </w:rPr>
        <w:t xml:space="preserve"> degli Acquisti dipendente che ne verifica i movimenti.</w:t>
      </w:r>
    </w:p>
    <w:p w:rsidR="00EB2195" w:rsidRPr="00E42549" w:rsidRDefault="00EB2195" w:rsidP="00EB2195">
      <w:pPr>
        <w:numPr>
          <w:ilvl w:val="0"/>
          <w:numId w:val="23"/>
        </w:numPr>
        <w:ind w:left="1276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i/>
          <w:sz w:val="18"/>
          <w:szCs w:val="18"/>
        </w:rPr>
        <w:t>Buste paga e contabilità del personale</w:t>
      </w:r>
      <w:r w:rsidRPr="00E42549">
        <w:rPr>
          <w:rFonts w:asciiTheme="majorHAnsi" w:hAnsiTheme="majorHAnsi" w:cs="Arial"/>
          <w:sz w:val="18"/>
          <w:szCs w:val="18"/>
        </w:rPr>
        <w:t xml:space="preserve"> gestione affidata a Studio Paghe e contributi i cui dati sono inseriti in Contabilità Generale mensilmente.</w:t>
      </w:r>
    </w:p>
    <w:p w:rsidR="00EB2195" w:rsidRPr="00E42549" w:rsidRDefault="00EB2195" w:rsidP="00EB2195">
      <w:pPr>
        <w:numPr>
          <w:ilvl w:val="0"/>
          <w:numId w:val="23"/>
        </w:numPr>
        <w:ind w:left="1276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i/>
          <w:sz w:val="18"/>
          <w:szCs w:val="18"/>
        </w:rPr>
        <w:t>Scritture di fine anno</w:t>
      </w:r>
      <w:r w:rsidRPr="00E42549">
        <w:rPr>
          <w:rFonts w:asciiTheme="majorHAnsi" w:hAnsiTheme="majorHAnsi" w:cs="Arial"/>
          <w:sz w:val="18"/>
          <w:szCs w:val="18"/>
        </w:rPr>
        <w:t xml:space="preserve"> effettuate dalla direzione al 31/12 di ciascun esercizio.</w:t>
      </w:r>
    </w:p>
    <w:p w:rsidR="00EB2195" w:rsidRPr="00E42549" w:rsidRDefault="00EB2195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  <w:u w:val="single"/>
        </w:rPr>
      </w:pPr>
    </w:p>
    <w:p w:rsidR="00EB2195" w:rsidRPr="00E42549" w:rsidRDefault="00EB2195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>La Società rileva costi e ricavi per centro di costo.</w:t>
      </w:r>
    </w:p>
    <w:p w:rsidR="00EB2195" w:rsidRPr="00E42549" w:rsidRDefault="00EB2195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>I costi comuni ai diversi servizi della Società sono ripartiti tra i medesimi secondo i seguenti criteri:</w:t>
      </w:r>
    </w:p>
    <w:p w:rsidR="00EB2195" w:rsidRPr="00E42549" w:rsidRDefault="00EB2195" w:rsidP="00EB2195">
      <w:pPr>
        <w:ind w:left="567" w:right="560"/>
        <w:jc w:val="both"/>
        <w:rPr>
          <w:rFonts w:asciiTheme="majorHAnsi" w:hAnsiTheme="majorHAnsi" w:cs="Arial"/>
          <w:sz w:val="18"/>
          <w:szCs w:val="18"/>
        </w:rPr>
      </w:pPr>
    </w:p>
    <w:p w:rsidR="00EB2195" w:rsidRPr="00E42549" w:rsidRDefault="00EB2195" w:rsidP="00EB2195">
      <w:pPr>
        <w:numPr>
          <w:ilvl w:val="0"/>
          <w:numId w:val="24"/>
        </w:numPr>
        <w:ind w:left="1276" w:right="560"/>
        <w:jc w:val="both"/>
        <w:rPr>
          <w:rFonts w:asciiTheme="majorHAnsi" w:hAnsiTheme="majorHAnsi" w:cs="Arial"/>
          <w:i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 xml:space="preserve"> </w:t>
      </w:r>
      <w:r w:rsidRPr="00E42549">
        <w:rPr>
          <w:rFonts w:asciiTheme="majorHAnsi" w:hAnsiTheme="majorHAnsi" w:cs="Arial"/>
          <w:i/>
          <w:sz w:val="18"/>
          <w:szCs w:val="18"/>
        </w:rPr>
        <w:t>Ricavi di settore.</w:t>
      </w:r>
    </w:p>
    <w:p w:rsidR="00EB2195" w:rsidRPr="00E42549" w:rsidRDefault="00EB2195" w:rsidP="00EB2195">
      <w:pPr>
        <w:numPr>
          <w:ilvl w:val="0"/>
          <w:numId w:val="24"/>
        </w:numPr>
        <w:ind w:left="1276" w:right="560"/>
        <w:jc w:val="both"/>
        <w:rPr>
          <w:rFonts w:asciiTheme="majorHAnsi" w:hAnsiTheme="majorHAnsi" w:cs="Arial"/>
          <w:i/>
          <w:sz w:val="18"/>
          <w:szCs w:val="18"/>
        </w:rPr>
      </w:pPr>
      <w:r w:rsidRPr="00E42549">
        <w:rPr>
          <w:rFonts w:asciiTheme="majorHAnsi" w:hAnsiTheme="majorHAnsi" w:cs="Arial"/>
          <w:sz w:val="18"/>
          <w:szCs w:val="18"/>
        </w:rPr>
        <w:t xml:space="preserve"> </w:t>
      </w:r>
      <w:r w:rsidRPr="00E42549">
        <w:rPr>
          <w:rFonts w:asciiTheme="majorHAnsi" w:hAnsiTheme="majorHAnsi" w:cs="Arial"/>
          <w:i/>
          <w:sz w:val="18"/>
          <w:szCs w:val="18"/>
        </w:rPr>
        <w:t>Numero addetti di settore.</w:t>
      </w:r>
    </w:p>
    <w:p w:rsidR="00910E79" w:rsidRPr="00E42549" w:rsidRDefault="00910E79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EB2195" w:rsidRPr="00E42549" w:rsidRDefault="00B4148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EB2195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.2 </w:t>
      </w:r>
      <w:r w:rsidR="00C47D1F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Gestione del magazzino.</w:t>
      </w:r>
    </w:p>
    <w:p w:rsidR="009F6C7C" w:rsidRPr="00E42549" w:rsidRDefault="005A6888" w:rsidP="00C47D1F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magazziniere spunta e carica giornalmente l'arrivo degli ordini dai grossisti e carica entro 3/5 giorni l'arrivo dei prodotti delle case fornitrici valutando soprattutto le priorità; quando arrivano le fatture le unisce alle bolle in suo possesso verificando le quantità e le consegna al Direttore o al suo Vice Direttore</w:t>
      </w:r>
      <w:r w:rsidR="00A1126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del facente-funzioni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per la registrazione nell'apposito registro protocollo delle fatture.</w:t>
      </w:r>
    </w:p>
    <w:p w:rsidR="00C47D1F" w:rsidRPr="00E42549" w:rsidRDefault="00C47D1F" w:rsidP="00C47D1F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Le rimanenze di magazzino delle farmacie relative ai prodotti destinati alla vendita è effettuato al 31/12 d</w:t>
      </w:r>
      <w:r w:rsidR="005C6FA0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 ciascun esercizio a cura del D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irettore di farmacia o suo sostituto, utilizzando i sistemi computerizzati e inventariando fisicamente le merci senza barcode. </w:t>
      </w:r>
    </w:p>
    <w:p w:rsidR="00C47D1F" w:rsidRPr="00E42549" w:rsidRDefault="00C47D1F" w:rsidP="00C47D1F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Periodicamente, almeno per due farmacie nel corso dell’esercizio, viene fatto un inventario fisico del magazzino avvalendosi di personale dip</w:t>
      </w:r>
      <w:r w:rsidR="005C6FA0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endente con il controllo della D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irezione o dando mandato ad una Società esterna specializzata. Al termine di tale inventario effettuati ulteriori controlli sui valori vengono sistemati gli archivi computerizzati della farmacia. </w:t>
      </w:r>
    </w:p>
    <w:p w:rsidR="00C47D1F" w:rsidRPr="00E42549" w:rsidRDefault="00C47D1F" w:rsidP="00C47D1F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Ogni mese vengono fatte verifiche a campione per le referenze di maggio</w:t>
      </w:r>
      <w:r w:rsidR="005C6FA0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r peso, sotto il controllo del D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irettore di farmacia o suo sostituto, se tali verifiche rilevano differenze eccedenti valori considerati fisiologici devono essere comunicati alla direzione centrale.</w:t>
      </w:r>
    </w:p>
    <w:p w:rsidR="00C47D1F" w:rsidRPr="00E42549" w:rsidRDefault="00C47D1F" w:rsidP="00C47D1F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Il programma delle operazioni inventariali deve essere comunicato al Collegio Sindacale.</w:t>
      </w:r>
    </w:p>
    <w:p w:rsidR="00EB2195" w:rsidRPr="00E42549" w:rsidRDefault="00EB2195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EB2195" w:rsidRPr="00E42549" w:rsidRDefault="00B4148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5C6FA0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.3 Valore dei cespiti ammortizzabili.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 beni della società sono iscritti nel libro dei cespiti ammortizzabili. I beni sono tutti di proprietà della Società, qualora il Comune conferisca taluni cespiti questi saranno indicati separatamente dagli altri.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Ogni anno il Registro dei cespiti viene aggiornato con l’iscrizione dei beni acquisiti nel corso dell’esercizio, le quote di ammortamento d’esercizio e con l’eliminazione di quelli alienati o cessati a diverso titolo.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Le quote di ammortamento d’esercizio sono stabilite secondo le vigenti normative civilistiche e fiscali salvo motivate deroghe debitamente illustrate in Nota Integrativa.</w:t>
      </w:r>
    </w:p>
    <w:p w:rsidR="00EB2195" w:rsidRPr="00E42549" w:rsidRDefault="00EB2195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5C6FA0" w:rsidRPr="00E42549" w:rsidRDefault="00B4148D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5C6FA0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.4 Piano Programma triennale</w:t>
      </w:r>
      <w:r w:rsidR="005A6888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Il Piano Programma triennale è adottato dall’Amministratore Unico 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dal CdA 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su proposta della direzione sulla base di quanto stabilito dalla Statuto societario e determina gli indirizzi ed i progetti relativi al triennio con le relative modalità di finanziamento, viene approvato dall’Assemblea dei Soci unitamente al Bilancio Preventivo Triennale ed al Bilancio Annuale.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C6FA0" w:rsidRPr="00E42549" w:rsidRDefault="00B4148D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5C6FA0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.5  Bilancio Preventivo Triennale</w:t>
      </w:r>
      <w:r w:rsidR="005A6888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Bilancio Preventivo triennale o Bilancio Pluriennale di previsione riporta costi e ricavi previsti nel triennio. I dati relativi al primo esercizio del triennio sono inseriti nel Bilancio di Previsione annuale.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Bilancio Preventivo triennale è approvato dall’Amministratore Unico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dal CdA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sentito il Collegio Sindacale su proposta della direzione ed è presentato per la definitiva approvazione all’Assemblea dei Soci unitamente al Piano Programma Triennale ed al Bilancio Preventivo annuale.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C6FA0" w:rsidRPr="00E42549" w:rsidRDefault="00B4148D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5C6FA0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.6 Bilancio Consuntivo d’esercizio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Bilancio Consuntivo d’esercizio deve essere redatto in conformità alle vigenti normative in materia e allo Statuto della Società e si compone dei seguenti documenti:</w:t>
      </w:r>
    </w:p>
    <w:p w:rsidR="005C6FA0" w:rsidRPr="00E42549" w:rsidRDefault="005C6FA0" w:rsidP="005C6FA0">
      <w:pPr>
        <w:pStyle w:val="Testonormale1"/>
        <w:numPr>
          <w:ilvl w:val="0"/>
          <w:numId w:val="25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Stato Patrimoniale.</w:t>
      </w:r>
    </w:p>
    <w:p w:rsidR="005C6FA0" w:rsidRPr="00E42549" w:rsidRDefault="005C6FA0" w:rsidP="005C6FA0">
      <w:pPr>
        <w:pStyle w:val="Testonormale1"/>
        <w:numPr>
          <w:ilvl w:val="0"/>
          <w:numId w:val="25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Conto Economico.</w:t>
      </w:r>
    </w:p>
    <w:p w:rsidR="005C6FA0" w:rsidRPr="00E42549" w:rsidRDefault="005C6FA0" w:rsidP="005C6FA0">
      <w:pPr>
        <w:pStyle w:val="Testonormale1"/>
        <w:numPr>
          <w:ilvl w:val="0"/>
          <w:numId w:val="25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Relazione sulla gestione.</w:t>
      </w:r>
    </w:p>
    <w:p w:rsidR="005C6FA0" w:rsidRPr="00E42549" w:rsidRDefault="005C6FA0" w:rsidP="005C6FA0">
      <w:pPr>
        <w:pStyle w:val="Testonormale1"/>
        <w:numPr>
          <w:ilvl w:val="0"/>
          <w:numId w:val="25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Nota Integrativa.</w:t>
      </w:r>
    </w:p>
    <w:p w:rsidR="005C6FA0" w:rsidRPr="00E42549" w:rsidRDefault="005C6FA0" w:rsidP="005C6FA0">
      <w:pPr>
        <w:pStyle w:val="Testonormale1"/>
        <w:numPr>
          <w:ilvl w:val="0"/>
          <w:numId w:val="25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Relazione del Collegio Sindacale.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C6FA0" w:rsidRPr="00E42549" w:rsidRDefault="00B4148D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5C6FA0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.6.1. Analisi, verifica e chiusura del Bilancio.</w:t>
      </w:r>
    </w:p>
    <w:p w:rsidR="005C6FA0" w:rsidRPr="00E42549" w:rsidRDefault="008A6EB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Il processo di chiusura </w:t>
      </w:r>
      <w:r w:rsidR="005A6888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del Bilancio è ve</w:t>
      </w:r>
      <w:r w:rsidR="00CE2CD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rificato dal </w:t>
      </w:r>
      <w:r w:rsidR="00CD2D2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5A6888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che si occupa di:</w:t>
      </w:r>
    </w:p>
    <w:p w:rsidR="005A6888" w:rsidRPr="00E42549" w:rsidRDefault="005A6888" w:rsidP="005A6888">
      <w:pPr>
        <w:pStyle w:val="Testonormale1"/>
        <w:numPr>
          <w:ilvl w:val="0"/>
          <w:numId w:val="26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monitorare i dati presenti a sistema, analizzandoli su base comparativa rispetto ai periodi precedenti, e ne verifica la congruità;</w:t>
      </w:r>
    </w:p>
    <w:p w:rsidR="005A6888" w:rsidRPr="00E42549" w:rsidRDefault="005A6888" w:rsidP="005A6888">
      <w:pPr>
        <w:pStyle w:val="Testonormale1"/>
        <w:numPr>
          <w:ilvl w:val="0"/>
          <w:numId w:val="26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verifica la tempestività, la completezza e la correttezza dell'esecuzione delle scritture automatiche generate a sistema ad. es. ammortamenti;</w:t>
      </w:r>
    </w:p>
    <w:p w:rsidR="005A6888" w:rsidRPr="00E42549" w:rsidRDefault="005A6888" w:rsidP="005A6888">
      <w:pPr>
        <w:pStyle w:val="Testonormale1"/>
        <w:numPr>
          <w:ilvl w:val="0"/>
          <w:numId w:val="26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sollecita l'inserimento o l'adeguamento automatico delle voci, al fine di giungere ad una completezza dei dati contabili entro le tempistiche di chiusura previste</w:t>
      </w:r>
    </w:p>
    <w:p w:rsidR="005C6FA0" w:rsidRPr="00E42549" w:rsidRDefault="005A6888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Al termine di tali attività viene stampato un Bilancio di verifica su cui il </w:t>
      </w:r>
      <w:r w:rsidR="007148E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CE2CD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, con il supporto del Collegio Sindacale, esegue gli ultimi controlli di correttezza, completezza e coerenza delle scritture.</w:t>
      </w:r>
    </w:p>
    <w:p w:rsidR="00CE2CDC" w:rsidRPr="00E42549" w:rsidRDefault="00CE2CDC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In caso di errori evidenti sull'ultima versione del Bilancio di verifica, il </w:t>
      </w:r>
      <w:r w:rsidR="007148E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esegue direttamente le registrazioni correttive sul sistema di contabilità generale; dopo l'approvazione del Bilancio da parte dell'Assemblea dei soci non è più possibile eseguire sul sistema scritture contabili con impatto sull'esercizio precedente, che risulta definitivamente chiuso.</w:t>
      </w:r>
    </w:p>
    <w:p w:rsidR="00CE2CDC" w:rsidRPr="00E42549" w:rsidRDefault="00CE2CDC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5C6FA0" w:rsidRPr="00E42549" w:rsidRDefault="00B4148D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CE2CDC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.6.2 Predisposizione e approvazione del Bilancio.</w:t>
      </w:r>
    </w:p>
    <w:p w:rsidR="00CE2CDC" w:rsidRPr="00E42549" w:rsidRDefault="00CE2CDC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Terminate le oper</w:t>
      </w:r>
      <w:r w:rsidR="007148E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azioni di chiusura, il Coordinatore della Società 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si occupa della predisposizione del Progetto di Bilancio, della Nota Integrativa nel rispetto delle normative vigenti in materia di informativa di Bilancio, con il supporto del Collegio Sindacale.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Entro il 31/3 di ogni anno </w:t>
      </w:r>
      <w:r w:rsidR="00CE2CD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il </w:t>
      </w:r>
      <w:r w:rsidR="007148E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Coordinatore della Società 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presenta all’Amministratore Unico 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al Cda 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progetto di Bilancio d’esercizio della gestion</w:t>
      </w:r>
      <w:r w:rsidR="00CE2CD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e al 31/12 dell’anno precedente affinché possa esaminarlo ed avanzare eventuali </w:t>
      </w:r>
      <w:r w:rsidR="006F19F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eccezioni prima della approvazione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L’Amministratore Unico 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il Cda 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approva tale </w:t>
      </w:r>
      <w:r w:rsidR="006F19F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Bilanci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o entro il 10/4 e lo trasmette entro i 5 gg. successivi al Collegio Sindacale che provvede alla stesura della relazione di competenza.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L’Amministratore Unico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il Presidente della Società</w:t>
      </w:r>
      <w:r w:rsidR="006F19F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,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se lo ritiene opportuno</w:t>
      </w:r>
      <w:r w:rsidR="006F19F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,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predispone una sua Relazione al Bilancio che viene allegata al </w:t>
      </w:r>
      <w:r w:rsidR="006F19F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Bilancio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come premessa.</w:t>
      </w:r>
    </w:p>
    <w:p w:rsidR="006F19FC" w:rsidRPr="00E42549" w:rsidRDefault="006F19FC" w:rsidP="006F19FC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Bilancio Consuntivo d’esercizio con tutti gli allegati deve essere presentato all’Assemblea dei Soci entro i termini stabiliti dallo Statuto della Società.</w:t>
      </w:r>
    </w:p>
    <w:p w:rsidR="005C6FA0" w:rsidRPr="00E42549" w:rsidRDefault="005C6FA0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AE5248" w:rsidRPr="00E42549" w:rsidRDefault="00B4148D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AE5248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.7  Ripartizione degli utili.</w:t>
      </w:r>
    </w:p>
    <w:p w:rsidR="00AE5248" w:rsidRPr="00E42549" w:rsidRDefault="00AE5248" w:rsidP="00AE524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L’utile d’esercizio al netto delle imposte viene destinato, su proposta dell’Amministratore Unico 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o del Presidente della Società e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con l’approvazione da parte dell’Assemblea dei Soci, come segue:</w:t>
      </w:r>
    </w:p>
    <w:p w:rsidR="00AE5248" w:rsidRPr="00E42549" w:rsidRDefault="00AE5248" w:rsidP="00AE5248">
      <w:pPr>
        <w:pStyle w:val="Testonormale1"/>
        <w:numPr>
          <w:ilvl w:val="0"/>
          <w:numId w:val="27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Al Fondo di Riserva nei limiti previsti dallo Statuto della Società.</w:t>
      </w:r>
    </w:p>
    <w:p w:rsidR="00AE5248" w:rsidRPr="00E42549" w:rsidRDefault="00AE5248" w:rsidP="00AE5248">
      <w:pPr>
        <w:pStyle w:val="Testonormale1"/>
        <w:numPr>
          <w:ilvl w:val="0"/>
          <w:numId w:val="27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Alla costituzione o all’incremento del Fondo di Rinnovo e Miglioramento Impianti</w:t>
      </w:r>
    </w:p>
    <w:p w:rsidR="00AE5248" w:rsidRPr="00E42549" w:rsidRDefault="00AE5248" w:rsidP="00AE5248">
      <w:pPr>
        <w:pStyle w:val="Testonormale1"/>
        <w:numPr>
          <w:ilvl w:val="0"/>
          <w:numId w:val="27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Alla costituzione o all’incremento del Fondo di Finanziamento dello Sviluppo degli Investimenti nelle percentuali indicate nello statuto della Società o in base a quanto definito nel Piano Programma.</w:t>
      </w:r>
    </w:p>
    <w:p w:rsidR="00AE5248" w:rsidRPr="00E42549" w:rsidRDefault="00AE5248" w:rsidP="00AE5248">
      <w:pPr>
        <w:pStyle w:val="Testonormale1"/>
        <w:numPr>
          <w:ilvl w:val="0"/>
          <w:numId w:val="27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Al Fondo di Riserva Straordinario.</w:t>
      </w:r>
    </w:p>
    <w:p w:rsidR="00AE5248" w:rsidRPr="00E42549" w:rsidRDefault="00AE5248" w:rsidP="00AE524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L’eccedenza eventuale risultante è accreditata al Socio Unico entro il 31/12 dell’esercizio successivo a quello di approvazione del Bilancio d’esercizio.</w:t>
      </w:r>
    </w:p>
    <w:p w:rsidR="00AE5248" w:rsidRPr="00E42549" w:rsidRDefault="00AE5248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AE5248" w:rsidRPr="00E42549" w:rsidRDefault="00B4148D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AE5248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.8 Andamento economico e finanziario d'esercizio.</w:t>
      </w:r>
    </w:p>
    <w:p w:rsidR="00AE5248" w:rsidRPr="00E42549" w:rsidRDefault="00AE5248" w:rsidP="00AE524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Il Bilancio d’esercizio della Società non può chiudere in perdita.</w:t>
      </w:r>
    </w:p>
    <w:p w:rsidR="00AE5248" w:rsidRPr="00E42549" w:rsidRDefault="00AE5248" w:rsidP="00AE5248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Con periodicità trimestrale la Direzione amministrativa presenta all’Amministratore Unico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al Presidente della Società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:</w:t>
      </w:r>
    </w:p>
    <w:p w:rsidR="00AE5248" w:rsidRPr="00E42549" w:rsidRDefault="00AE5248" w:rsidP="00AE5248">
      <w:pPr>
        <w:pStyle w:val="Testonormale1"/>
        <w:numPr>
          <w:ilvl w:val="0"/>
          <w:numId w:val="28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La situazione economica e finanziaria della Società con l’andamento prospettico.</w:t>
      </w:r>
    </w:p>
    <w:p w:rsidR="00AE5248" w:rsidRPr="00E42549" w:rsidRDefault="00AE5248" w:rsidP="00AE5248">
      <w:pPr>
        <w:pStyle w:val="Testonormale1"/>
        <w:numPr>
          <w:ilvl w:val="0"/>
          <w:numId w:val="28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I bilanci di settore con indicazioni costi/ricavi.</w:t>
      </w:r>
    </w:p>
    <w:p w:rsidR="00AE5248" w:rsidRPr="00E42549" w:rsidRDefault="00AE5248" w:rsidP="00AE5248">
      <w:pPr>
        <w:pStyle w:val="Testonormale1"/>
        <w:numPr>
          <w:ilvl w:val="0"/>
          <w:numId w:val="28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Una relazione sulla politica delle tariffe.</w:t>
      </w:r>
    </w:p>
    <w:p w:rsidR="00AE5248" w:rsidRPr="00E42549" w:rsidRDefault="00AE5248" w:rsidP="00AE5248">
      <w:pPr>
        <w:pStyle w:val="Testonormale1"/>
        <w:numPr>
          <w:ilvl w:val="0"/>
          <w:numId w:val="28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Una relazione sulla politica del personale.</w:t>
      </w:r>
    </w:p>
    <w:p w:rsidR="00AE5248" w:rsidRPr="00E42549" w:rsidRDefault="00AE5248" w:rsidP="00AE5248">
      <w:pPr>
        <w:pStyle w:val="Testonormale1"/>
        <w:numPr>
          <w:ilvl w:val="0"/>
          <w:numId w:val="28"/>
        </w:numPr>
        <w:tabs>
          <w:tab w:val="left" w:pos="8789"/>
        </w:tabs>
        <w:ind w:left="1276" w:right="560"/>
        <w:jc w:val="both"/>
        <w:rPr>
          <w:rFonts w:asciiTheme="majorHAnsi" w:hAnsiTheme="majorHAnsi" w:cs="Times New Roman"/>
          <w:i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i/>
          <w:color w:val="000000" w:themeColor="text1"/>
          <w:sz w:val="18"/>
          <w:szCs w:val="18"/>
        </w:rPr>
        <w:t>Una relazione sull’attuazione del Piano Programma Triennale.</w:t>
      </w:r>
    </w:p>
    <w:p w:rsidR="00AE5248" w:rsidRPr="00E42549" w:rsidRDefault="00AE5248" w:rsidP="00AE5248">
      <w:pPr>
        <w:pStyle w:val="Testonormale1"/>
        <w:tabs>
          <w:tab w:val="left" w:pos="8789"/>
        </w:tabs>
        <w:ind w:left="1276" w:right="560" w:firstLine="708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AE5248" w:rsidRPr="00E42549" w:rsidRDefault="00AE5248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5C6FA0" w:rsidRPr="00E42549" w:rsidRDefault="00B4148D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AE5248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.9 Gestione dei rapporti con il Socio unico.</w:t>
      </w:r>
    </w:p>
    <w:p w:rsidR="005C6FA0" w:rsidRPr="00E42549" w:rsidRDefault="00AE5248" w:rsidP="005C6FA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L'Amministratore unico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il Presidente della Società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è il referente aziendale responsabile dei rapporti con il Socio unico.</w:t>
      </w:r>
    </w:p>
    <w:p w:rsidR="005C6FA0" w:rsidRPr="00E42549" w:rsidRDefault="00F440C4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Attraverso il </w:t>
      </w:r>
      <w:r w:rsidR="007148E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l'Amministratore unico 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o il Presidente della Società 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è responsabile di:</w:t>
      </w:r>
    </w:p>
    <w:p w:rsidR="005C6FA0" w:rsidRPr="00E42549" w:rsidRDefault="00F440C4" w:rsidP="00F440C4">
      <w:pPr>
        <w:pStyle w:val="Testonormale1"/>
        <w:numPr>
          <w:ilvl w:val="0"/>
          <w:numId w:val="2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predisporre le convocazioni dell'Assemblea dei soci;</w:t>
      </w:r>
    </w:p>
    <w:p w:rsidR="00F440C4" w:rsidRPr="00E42549" w:rsidRDefault="00F440C4" w:rsidP="00F440C4">
      <w:pPr>
        <w:pStyle w:val="Testonormale1"/>
        <w:numPr>
          <w:ilvl w:val="0"/>
          <w:numId w:val="2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soddisfare in autonomia richieste di informazioni e chiarimenti di ordinaria amministrazione, anche attraverso, ove necessario, il coinvolgimento di personale interno alla Società, agendo nella massima trasparenza e correttezza;</w:t>
      </w:r>
    </w:p>
    <w:p w:rsidR="00F440C4" w:rsidRPr="00E42549" w:rsidRDefault="00F440C4" w:rsidP="00F440C4">
      <w:pPr>
        <w:pStyle w:val="Testonormale1"/>
        <w:numPr>
          <w:ilvl w:val="0"/>
          <w:numId w:val="2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predisporre la documentazione in caso di </w:t>
      </w:r>
      <w:r w:rsidR="00EF07D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richieste specifiche sottoposte dal Socio unico all'Amministratore</w:t>
      </w:r>
      <w:r w:rsidR="00B65BC4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Unico o al Presidente</w:t>
      </w:r>
      <w:r w:rsidR="00EF07D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;</w:t>
      </w:r>
    </w:p>
    <w:p w:rsidR="00EF07D2" w:rsidRPr="00E42549" w:rsidRDefault="00EF07D2" w:rsidP="00F440C4">
      <w:pPr>
        <w:pStyle w:val="Testonormale1"/>
        <w:numPr>
          <w:ilvl w:val="0"/>
          <w:numId w:val="29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mantenere traccia delle richieste di documentazione del Socio unico e della relativa documentazione fornita.</w:t>
      </w:r>
    </w:p>
    <w:p w:rsidR="005C6FA0" w:rsidRPr="00E42549" w:rsidRDefault="005C6FA0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6C65A8" w:rsidRPr="00E42549" w:rsidRDefault="008A6EB0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In particolare, l'A</w:t>
      </w:r>
      <w:r w:rsidR="006C65A8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mministratore unico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il Presidente della Società</w:t>
      </w:r>
      <w:r w:rsidR="006C65A8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ha la responsabilità di operare con tempestività, trasparenza, correttezza e nell'assoluto rispetto dalle normative applicabili per consentire al Socio unico di effettuare, nel rispetto dei tempi previsti, gli adempimenti loro riservati, nel rispetto di quanto prescritto nel Protocollo </w:t>
      </w:r>
      <w:r w:rsidR="005311FC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n. 2</w:t>
      </w:r>
      <w:r w:rsidR="006C65A8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Gestione degli adempimenti e dei rapporti con gli Enti pubblici, a cui si rinvia.</w:t>
      </w:r>
    </w:p>
    <w:p w:rsidR="006C65A8" w:rsidRPr="00E42549" w:rsidRDefault="006C65A8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750271" w:rsidRPr="00E42549" w:rsidRDefault="00B4148D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5</w:t>
      </w:r>
      <w:r w:rsidR="00750271" w:rsidRPr="00E42549">
        <w:rPr>
          <w:rFonts w:asciiTheme="majorHAnsi" w:hAnsiTheme="majorHAnsi" w:cs="Times New Roman"/>
          <w:b/>
          <w:color w:val="000000" w:themeColor="text1"/>
          <w:sz w:val="18"/>
          <w:szCs w:val="18"/>
        </w:rPr>
        <w:t>.10 Gestione dei rapporti con il Collegio sindacale.</w:t>
      </w:r>
    </w:p>
    <w:p w:rsidR="00750271" w:rsidRPr="00E42549" w:rsidRDefault="00750271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I referenti aziendali per il Collegio Sindacale sono il </w:t>
      </w:r>
      <w:r w:rsidR="00AA5F34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="008A6EB0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ed il </w:t>
      </w:r>
      <w:r w:rsidR="007148E2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Coordinatore/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Direttore del singolo servizio/settore.</w:t>
      </w:r>
    </w:p>
    <w:p w:rsidR="00750271" w:rsidRPr="00E42549" w:rsidRDefault="00750271" w:rsidP="00B93CC7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Quest'ultimo, con il supporto del </w:t>
      </w:r>
      <w:r w:rsidR="00AA5F34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Coordinatore della Società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, è responsabile delle seguenti attività:</w:t>
      </w:r>
    </w:p>
    <w:p w:rsidR="00750271" w:rsidRPr="00E42549" w:rsidRDefault="00750271" w:rsidP="00750271">
      <w:pPr>
        <w:pStyle w:val="Testonormale1"/>
        <w:numPr>
          <w:ilvl w:val="0"/>
          <w:numId w:val="3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raccogliere la documentazione a supporto dell'attività del Collegio Sindacale e soddisfare le richieste informative avanzate dallo stesso, anche attraverso il coinvolgimento del personale interno alla società, agendo nella massima trasparenza e correttezza;</w:t>
      </w:r>
    </w:p>
    <w:p w:rsidR="00750271" w:rsidRPr="00E42549" w:rsidRDefault="00750271" w:rsidP="00750271">
      <w:pPr>
        <w:pStyle w:val="Testonormale1"/>
        <w:numPr>
          <w:ilvl w:val="0"/>
          <w:numId w:val="3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archiviare tutta la documentazione legata all'attività del Collegio Sindacale;</w:t>
      </w:r>
    </w:p>
    <w:p w:rsidR="00750271" w:rsidRPr="00E42549" w:rsidRDefault="00750271" w:rsidP="00750271">
      <w:pPr>
        <w:pStyle w:val="Testonormale1"/>
        <w:numPr>
          <w:ilvl w:val="0"/>
          <w:numId w:val="30"/>
        </w:numPr>
        <w:tabs>
          <w:tab w:val="left" w:pos="8789"/>
        </w:tabs>
        <w:ind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assistere il Collegio sindacale nel </w:t>
      </w:r>
      <w:r w:rsidR="008A6EB0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c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orso delle verifiche periodiche</w:t>
      </w:r>
      <w:r w:rsidR="00501876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di merito.</w:t>
      </w:r>
    </w:p>
    <w:p w:rsidR="001670E3" w:rsidRPr="00E42549" w:rsidRDefault="001670E3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C54780" w:rsidRPr="00E42549" w:rsidRDefault="00B4148D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</w:pPr>
      <w:r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6</w:t>
      </w:r>
      <w:r w:rsidR="00A11262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>.</w:t>
      </w:r>
      <w:r w:rsidR="00C54780" w:rsidRPr="00E42549">
        <w:rPr>
          <w:rFonts w:asciiTheme="majorHAnsi" w:hAnsiTheme="majorHAnsi" w:cs="Times New Roman"/>
          <w:b/>
          <w:color w:val="000000" w:themeColor="text1"/>
          <w:sz w:val="18"/>
          <w:szCs w:val="18"/>
          <w:u w:val="single"/>
        </w:rPr>
        <w:t xml:space="preserve"> Archiviazione.</w:t>
      </w:r>
    </w:p>
    <w:p w:rsidR="00C54780" w:rsidRPr="00E42549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Tutta la documentazione prodotta nell'ambito delle attività regolate nel presente protocollo è conservata a cura di ciascun settore per quanto di co</w:t>
      </w:r>
      <w:r w:rsidR="000F2EF5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mpetenza e messa a disposizione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su richiesta dell'Amministratore Unico</w:t>
      </w:r>
      <w:r w:rsidR="0076755A"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o del Presidente della Società</w:t>
      </w: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, del Collegio Sindacale e dell'organismo di vigilanza.</w:t>
      </w:r>
    </w:p>
    <w:p w:rsidR="00C54780" w:rsidRPr="00E42549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E42549">
        <w:rPr>
          <w:rFonts w:asciiTheme="majorHAnsi" w:hAnsiTheme="majorHAnsi" w:cs="Times New Roman"/>
          <w:color w:val="000000" w:themeColor="text1"/>
          <w:sz w:val="18"/>
          <w:szCs w:val="18"/>
        </w:rPr>
        <w:t>Detti documenti devo essere conservati per un periodo di almeno 10 anni, salvo diverse previsioni legislative.</w:t>
      </w:r>
    </w:p>
    <w:p w:rsidR="00C54780" w:rsidRPr="00E42549" w:rsidRDefault="00C54780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:rsidR="0080753E" w:rsidRPr="00E42549" w:rsidRDefault="0080753E" w:rsidP="00C54780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color w:val="000000" w:themeColor="text1"/>
          <w:sz w:val="18"/>
          <w:szCs w:val="18"/>
        </w:rPr>
      </w:pPr>
    </w:p>
    <w:p w:rsidR="003F3336" w:rsidRPr="00E42549" w:rsidRDefault="003F3336" w:rsidP="00C269C4">
      <w:pPr>
        <w:pStyle w:val="Testonormale1"/>
        <w:tabs>
          <w:tab w:val="left" w:pos="8789"/>
        </w:tabs>
        <w:ind w:left="567" w:right="560"/>
        <w:jc w:val="both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sectPr w:rsidR="003F3336" w:rsidRPr="00E42549" w:rsidSect="00866AF9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B2" w:rsidRDefault="003114B2" w:rsidP="00806367">
      <w:r>
        <w:separator/>
      </w:r>
    </w:p>
  </w:endnote>
  <w:endnote w:type="continuationSeparator" w:id="0">
    <w:p w:rsidR="003114B2" w:rsidRDefault="003114B2" w:rsidP="0080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71" w:rsidRDefault="00700A14" w:rsidP="008063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02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0271" w:rsidRDefault="00750271" w:rsidP="0080636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71" w:rsidRDefault="00700A14" w:rsidP="008063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02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1D1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0271" w:rsidRDefault="00750271" w:rsidP="0080636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B2" w:rsidRDefault="003114B2" w:rsidP="00806367">
      <w:r>
        <w:separator/>
      </w:r>
    </w:p>
  </w:footnote>
  <w:footnote w:type="continuationSeparator" w:id="0">
    <w:p w:rsidR="003114B2" w:rsidRDefault="003114B2" w:rsidP="00806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E7DD3"/>
    <w:multiLevelType w:val="hybridMultilevel"/>
    <w:tmpl w:val="9DA42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02CA"/>
    <w:multiLevelType w:val="hybridMultilevel"/>
    <w:tmpl w:val="7E1A2756"/>
    <w:lvl w:ilvl="0" w:tplc="7BC84C76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AE5AD4"/>
    <w:multiLevelType w:val="hybridMultilevel"/>
    <w:tmpl w:val="663A4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833"/>
    <w:multiLevelType w:val="hybridMultilevel"/>
    <w:tmpl w:val="547A5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050E4"/>
    <w:multiLevelType w:val="hybridMultilevel"/>
    <w:tmpl w:val="803AB75A"/>
    <w:lvl w:ilvl="0" w:tplc="AC1E74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9141A"/>
    <w:multiLevelType w:val="hybridMultilevel"/>
    <w:tmpl w:val="A5B0D9E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85927"/>
    <w:multiLevelType w:val="hybridMultilevel"/>
    <w:tmpl w:val="EE0CD552"/>
    <w:lvl w:ilvl="0" w:tplc="7BC84C76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C76A6"/>
    <w:multiLevelType w:val="hybridMultilevel"/>
    <w:tmpl w:val="560A4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1A5A"/>
    <w:multiLevelType w:val="hybridMultilevel"/>
    <w:tmpl w:val="42DE8CE2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2A0F96"/>
    <w:multiLevelType w:val="hybridMultilevel"/>
    <w:tmpl w:val="60F40E7E"/>
    <w:lvl w:ilvl="0" w:tplc="7BC84C76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EB01773"/>
    <w:multiLevelType w:val="hybridMultilevel"/>
    <w:tmpl w:val="972E410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6D4D44"/>
    <w:multiLevelType w:val="hybridMultilevel"/>
    <w:tmpl w:val="BD12F638"/>
    <w:lvl w:ilvl="0" w:tplc="0780F53E">
      <w:numFmt w:val="bullet"/>
      <w:lvlText w:val="-"/>
      <w:lvlJc w:val="left"/>
      <w:pPr>
        <w:ind w:left="1287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8576ED"/>
    <w:multiLevelType w:val="hybridMultilevel"/>
    <w:tmpl w:val="63787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F19"/>
    <w:multiLevelType w:val="multilevel"/>
    <w:tmpl w:val="C29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26FA0"/>
    <w:multiLevelType w:val="multilevel"/>
    <w:tmpl w:val="2568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7099C"/>
    <w:multiLevelType w:val="hybridMultilevel"/>
    <w:tmpl w:val="A5BA8208"/>
    <w:lvl w:ilvl="0" w:tplc="0780F53E">
      <w:numFmt w:val="bullet"/>
      <w:lvlText w:val="-"/>
      <w:lvlJc w:val="left"/>
      <w:pPr>
        <w:ind w:left="1287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9D247B"/>
    <w:multiLevelType w:val="hybridMultilevel"/>
    <w:tmpl w:val="5BCE576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275A7D"/>
    <w:multiLevelType w:val="hybridMultilevel"/>
    <w:tmpl w:val="4A2246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640A9E"/>
    <w:multiLevelType w:val="hybridMultilevel"/>
    <w:tmpl w:val="246E08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BB46C9"/>
    <w:multiLevelType w:val="multilevel"/>
    <w:tmpl w:val="877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EF5451"/>
    <w:multiLevelType w:val="hybridMultilevel"/>
    <w:tmpl w:val="DEB42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C0A4D"/>
    <w:multiLevelType w:val="hybridMultilevel"/>
    <w:tmpl w:val="B7501416"/>
    <w:lvl w:ilvl="0" w:tplc="7BC84C76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A362F0"/>
    <w:multiLevelType w:val="multilevel"/>
    <w:tmpl w:val="BC52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471156"/>
    <w:multiLevelType w:val="hybridMultilevel"/>
    <w:tmpl w:val="A9E2B440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D832FD"/>
    <w:multiLevelType w:val="hybridMultilevel"/>
    <w:tmpl w:val="B8760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73296"/>
    <w:multiLevelType w:val="hybridMultilevel"/>
    <w:tmpl w:val="4AFC35FA"/>
    <w:lvl w:ilvl="0" w:tplc="C3148E2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DE6A50"/>
    <w:multiLevelType w:val="hybridMultilevel"/>
    <w:tmpl w:val="897CC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F21B5"/>
    <w:multiLevelType w:val="hybridMultilevel"/>
    <w:tmpl w:val="BB7E47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B0756A"/>
    <w:multiLevelType w:val="hybridMultilevel"/>
    <w:tmpl w:val="77A093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FB14A6"/>
    <w:multiLevelType w:val="hybridMultilevel"/>
    <w:tmpl w:val="D28CFB52"/>
    <w:lvl w:ilvl="0" w:tplc="009E2C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2"/>
  </w:num>
  <w:num w:numId="5">
    <w:abstractNumId w:val="2"/>
  </w:num>
  <w:num w:numId="6">
    <w:abstractNumId w:val="10"/>
  </w:num>
  <w:num w:numId="7">
    <w:abstractNumId w:val="18"/>
  </w:num>
  <w:num w:numId="8">
    <w:abstractNumId w:val="8"/>
  </w:num>
  <w:num w:numId="9">
    <w:abstractNumId w:val="19"/>
  </w:num>
  <w:num w:numId="10">
    <w:abstractNumId w:val="15"/>
  </w:num>
  <w:num w:numId="11">
    <w:abstractNumId w:val="27"/>
  </w:num>
  <w:num w:numId="12">
    <w:abstractNumId w:val="29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4"/>
  </w:num>
  <w:num w:numId="18">
    <w:abstractNumId w:val="9"/>
  </w:num>
  <w:num w:numId="19">
    <w:abstractNumId w:val="30"/>
  </w:num>
  <w:num w:numId="20">
    <w:abstractNumId w:val="28"/>
  </w:num>
  <w:num w:numId="21">
    <w:abstractNumId w:val="6"/>
  </w:num>
  <w:num w:numId="22">
    <w:abstractNumId w:val="0"/>
  </w:num>
  <w:num w:numId="23">
    <w:abstractNumId w:val="13"/>
  </w:num>
  <w:num w:numId="24">
    <w:abstractNumId w:val="25"/>
  </w:num>
  <w:num w:numId="25">
    <w:abstractNumId w:val="21"/>
  </w:num>
  <w:num w:numId="26">
    <w:abstractNumId w:val="11"/>
  </w:num>
  <w:num w:numId="27">
    <w:abstractNumId w:val="1"/>
  </w:num>
  <w:num w:numId="28">
    <w:abstractNumId w:val="3"/>
  </w:num>
  <w:num w:numId="29">
    <w:abstractNumId w:val="12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dgM6qYhvCgSpYb4qAr9dMkO8+og=" w:salt="iisg6oWDpoIyI6MlKqcU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335"/>
    <w:rsid w:val="00031E56"/>
    <w:rsid w:val="00041E37"/>
    <w:rsid w:val="000931B0"/>
    <w:rsid w:val="000A376F"/>
    <w:rsid w:val="000C17CF"/>
    <w:rsid w:val="000D3AC6"/>
    <w:rsid w:val="000F2EF5"/>
    <w:rsid w:val="00112335"/>
    <w:rsid w:val="00161D1F"/>
    <w:rsid w:val="00163D7D"/>
    <w:rsid w:val="001670E3"/>
    <w:rsid w:val="00191F4B"/>
    <w:rsid w:val="00193B5D"/>
    <w:rsid w:val="001C4871"/>
    <w:rsid w:val="001C6678"/>
    <w:rsid w:val="001F5574"/>
    <w:rsid w:val="00201470"/>
    <w:rsid w:val="00214796"/>
    <w:rsid w:val="0022530B"/>
    <w:rsid w:val="002A3334"/>
    <w:rsid w:val="002B557D"/>
    <w:rsid w:val="002B710A"/>
    <w:rsid w:val="002D4A16"/>
    <w:rsid w:val="003114B2"/>
    <w:rsid w:val="00334602"/>
    <w:rsid w:val="00353320"/>
    <w:rsid w:val="00382759"/>
    <w:rsid w:val="0038419C"/>
    <w:rsid w:val="003D5AD8"/>
    <w:rsid w:val="003F3336"/>
    <w:rsid w:val="00412BA9"/>
    <w:rsid w:val="00415EDC"/>
    <w:rsid w:val="00425A52"/>
    <w:rsid w:val="004269D4"/>
    <w:rsid w:val="00462EDF"/>
    <w:rsid w:val="004A5E18"/>
    <w:rsid w:val="004E0537"/>
    <w:rsid w:val="00501876"/>
    <w:rsid w:val="005311FC"/>
    <w:rsid w:val="005A6888"/>
    <w:rsid w:val="005C6FA0"/>
    <w:rsid w:val="00606734"/>
    <w:rsid w:val="006279E2"/>
    <w:rsid w:val="00640350"/>
    <w:rsid w:val="006C4BF5"/>
    <w:rsid w:val="006C65A8"/>
    <w:rsid w:val="006E0223"/>
    <w:rsid w:val="006F19FC"/>
    <w:rsid w:val="00700A14"/>
    <w:rsid w:val="007148E2"/>
    <w:rsid w:val="00726D96"/>
    <w:rsid w:val="007340CA"/>
    <w:rsid w:val="00742438"/>
    <w:rsid w:val="00750271"/>
    <w:rsid w:val="0076206D"/>
    <w:rsid w:val="0076755A"/>
    <w:rsid w:val="007A74AB"/>
    <w:rsid w:val="00806367"/>
    <w:rsid w:val="0080753E"/>
    <w:rsid w:val="00833C54"/>
    <w:rsid w:val="00846A42"/>
    <w:rsid w:val="00866AF9"/>
    <w:rsid w:val="008A6EB0"/>
    <w:rsid w:val="008C233C"/>
    <w:rsid w:val="008D1AF6"/>
    <w:rsid w:val="008E0F3E"/>
    <w:rsid w:val="00910E79"/>
    <w:rsid w:val="00984937"/>
    <w:rsid w:val="009F1F04"/>
    <w:rsid w:val="009F6C7C"/>
    <w:rsid w:val="00A11262"/>
    <w:rsid w:val="00A50BBD"/>
    <w:rsid w:val="00A97D88"/>
    <w:rsid w:val="00AA5F34"/>
    <w:rsid w:val="00AD79CD"/>
    <w:rsid w:val="00AE5248"/>
    <w:rsid w:val="00B22321"/>
    <w:rsid w:val="00B23311"/>
    <w:rsid w:val="00B4148D"/>
    <w:rsid w:val="00B536CD"/>
    <w:rsid w:val="00B65BC4"/>
    <w:rsid w:val="00B8713E"/>
    <w:rsid w:val="00B93CC7"/>
    <w:rsid w:val="00C269C4"/>
    <w:rsid w:val="00C47D1F"/>
    <w:rsid w:val="00C50E3E"/>
    <w:rsid w:val="00C5271C"/>
    <w:rsid w:val="00C54780"/>
    <w:rsid w:val="00C742AA"/>
    <w:rsid w:val="00C774B1"/>
    <w:rsid w:val="00CB6013"/>
    <w:rsid w:val="00CC0138"/>
    <w:rsid w:val="00CD2D2C"/>
    <w:rsid w:val="00CE2CDC"/>
    <w:rsid w:val="00D178AF"/>
    <w:rsid w:val="00D249AB"/>
    <w:rsid w:val="00D424C2"/>
    <w:rsid w:val="00D568F6"/>
    <w:rsid w:val="00DE2573"/>
    <w:rsid w:val="00DE4C2B"/>
    <w:rsid w:val="00E42549"/>
    <w:rsid w:val="00EB2195"/>
    <w:rsid w:val="00ED53E1"/>
    <w:rsid w:val="00EF07D2"/>
    <w:rsid w:val="00F00FEC"/>
    <w:rsid w:val="00F440C4"/>
    <w:rsid w:val="00F544EB"/>
    <w:rsid w:val="00FA2517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1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1233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346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063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367"/>
  </w:style>
  <w:style w:type="character" w:styleId="Numeropagina">
    <w:name w:val="page number"/>
    <w:basedOn w:val="Carpredefinitoparagrafo"/>
    <w:uiPriority w:val="99"/>
    <w:semiHidden/>
    <w:unhideWhenUsed/>
    <w:rsid w:val="00806367"/>
  </w:style>
  <w:style w:type="paragraph" w:styleId="NormaleWeb">
    <w:name w:val="Normal (Web)"/>
    <w:basedOn w:val="Normale"/>
    <w:uiPriority w:val="99"/>
    <w:semiHidden/>
    <w:unhideWhenUsed/>
    <w:rsid w:val="00B536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1233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346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063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6367"/>
  </w:style>
  <w:style w:type="character" w:styleId="Numeropagina">
    <w:name w:val="page number"/>
    <w:basedOn w:val="Caratterepredefinitoparagrafo"/>
    <w:uiPriority w:val="99"/>
    <w:semiHidden/>
    <w:unhideWhenUsed/>
    <w:rsid w:val="00806367"/>
  </w:style>
  <w:style w:type="paragraph" w:styleId="NormaleWeb">
    <w:name w:val="Normal (Web)"/>
    <w:basedOn w:val="Normale"/>
    <w:uiPriority w:val="99"/>
    <w:semiHidden/>
    <w:unhideWhenUsed/>
    <w:rsid w:val="00B536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2397</Words>
  <Characters>13669</Characters>
  <Application>Microsoft Office Word</Application>
  <DocSecurity>8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</dc:creator>
  <cp:keywords/>
  <dc:description/>
  <cp:lastModifiedBy>simona</cp:lastModifiedBy>
  <cp:revision>28</cp:revision>
  <cp:lastPrinted>2015-06-20T09:58:00Z</cp:lastPrinted>
  <dcterms:created xsi:type="dcterms:W3CDTF">2015-03-21T10:06:00Z</dcterms:created>
  <dcterms:modified xsi:type="dcterms:W3CDTF">2016-09-19T10:47:00Z</dcterms:modified>
</cp:coreProperties>
</file>